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To our valued investors, </w:t>
        <w:tab/>
        <w:t xml:space="preserve"/>
        <w:tab/>
        <w:t xml:space="preserve"/>
        <w:tab/>
        <w:t xml:space="preserve"/>
        <w:tab/>
        <w:t xml:space="preserve"/>
        <w:tab/>
        <w:t xml:space="preserve"/>
        <w:tab/>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We are pleased to hereby present this year’s sustainability report. </w:t>
      </w:r>
    </w:p>
    <w:p>
      <w:pPr/>
      <w:r>
        <w:rPr>
          <w:rFonts w:ascii="Times New Roman" w:hAnsi="Times New Roman" w:cs="Times New Roman"/>
          <w:sz w:val="24"/>
          <w:sz-cs w:val="24"/>
        </w:rPr>
        <w:t xml:space="preserve">Included in our Guiding Principles, which were established at the time of Unison’s inception and serve at the core of our work as investors, is the phrase “We seek to create business transactions which have value not only to ourselves but also to society.” As our ESG framework evolves, we continue to keep this principle top of mind. At a group level, along with operating country-focused funds in both Japan and South Korea, impact investment activities in India have begun to take shape, leading to further strengthened capabilities to fund and support the growth of sustainability-oriented businesses across these regions as well as Singapore and marking an expansion of Unison’s business domain. </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A key goal with our flagship private equity funds’ investments continues to be to “Democratize meaningful work”. In a position to implement effective governance as shareholders supporting companies that serve society, Unison is able to shape portfolio companies’ work environments and ensure a motivated, thriving workforce. This in turn enhances organizational engagement and recruiting, which are linked to improved financial performance, and creates a positive feedback loop from “democratizing” the workplace to ultimately creating value and generating returns.</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One highlight of our ESG efforts during the past year has been the expansion of the RIMM Sustainability Assessment to all of Unison’s portfolio companies. This has enabled us to examine each company’s individually set ESG efforts through a more quantitative, benchmark-oriented lens and make both competitor and portfolio-level comparisons. From 2022 we also began participating in ILPA’s ESG Data Convergence Initiative, and accordingly plan to aggregate annual changes in portfolio company data during Unison’s investment. Throughout these activities we continue to work to determine the best methodology for collecting small to mid-cap companies’ environmental impact data.</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While Unison is still in the early stages of its ESG activities, another highlight of this past year has been on increasing opportunities to externally communicate our goals. World Economic Forum workshops, Private Equity International’s Responsible Investment Forum, Nikkei SDGs Festival, GZERO Summit are just some of the events where we’ve been provided opportunities to share our ESG framework and expand our network of likeminded organizations and individuals. Through these encounters and discussions with many corporate chief sustainability officers, we continue to build a community we can both learn from and share challenges with.</w:t>
      </w:r>
    </w:p>
    <w:p>
      <w:pPr/>
      <w:r>
        <w:rPr>
          <w:rFonts w:ascii="Times New Roman" w:hAnsi="Times New Roman" w:cs="Times New Roman"/>
          <w:sz w:val="24"/>
          <w:sz-cs w:val="24"/>
        </w:rPr>
        <w:t xml:space="preserve"/>
      </w:r>
    </w:p>
    <w:p>
      <w:pPr/>
      <w:r>
        <w:rPr>
          <w:rFonts w:ascii="Times New Roman" w:hAnsi="Times New Roman" w:cs="Times New Roman"/>
          <w:sz w:val="24"/>
          <w:sz-cs w:val="24"/>
          <w:color w:val="1A1A1D"/>
        </w:rPr>
        <w:t xml:space="preserve">As always, we warmly welcome any comments, suggestions or feedback from our readers.</w:t>
      </w:r>
    </w:p>
    <w:p>
      <w:pPr>
        <w:jc w:val="right"/>
      </w:pPr>
      <w:r>
        <w:rPr>
          <w:rFonts w:ascii="Times New Roman" w:hAnsi="Times New Roman" w:cs="Times New Roman"/>
          <w:sz w:val="24"/>
          <w:sz-cs w:val="24"/>
          <w:color w:val="1A1A1D"/>
        </w:rPr>
        <w:t xml:space="preserve">Junko Katayanagi</w:t>
      </w:r>
    </w:p>
    <w:p>
      <w:pPr>
        <w:jc w:val="right"/>
      </w:pPr>
      <w:r>
        <w:rPr>
          <w:rFonts w:ascii="Times New Roman" w:hAnsi="Times New Roman" w:cs="Times New Roman"/>
          <w:sz w:val="24"/>
          <w:sz-cs w:val="24"/>
        </w:rPr>
        <w:t xml:space="preserve">Partner</w:t>
      </w:r>
    </w:p>
    <w:p>
      <w:pPr/>
      <w:r>
        <w:rPr>
          <w:rFonts w:ascii="Times New Roman" w:hAnsi="Times New Roman" w:cs="Times New Roman"/>
          <w:sz w:val="24"/>
          <w:sz-cs w:val="24"/>
          <w:b/>
          <w:color w:val="000000"/>
        </w:rPr>
        <w:t xml:space="preserve">Junko: </w:t>
      </w:r>
      <w:r>
        <w:rPr>
          <w:rFonts w:ascii="Times New Roman" w:hAnsi="Times New Roman" w:cs="Times New Roman"/>
          <w:sz w:val="24"/>
          <w:sz-cs w:val="24"/>
          <w:color w:val="000000"/>
        </w:rPr>
        <w:t xml:space="preserve">It is great to see you in person finally after countless Zoom calls these past few years. Firstly, will you tell us why you started RIMM Sustainability (“RIMM”) and what you are trying to achieve?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Ravi:</w:t>
      </w:r>
      <w:r>
        <w:rPr>
          <w:rFonts w:ascii="Times New Roman" w:hAnsi="Times New Roman" w:cs="Times New Roman"/>
          <w:sz w:val="24"/>
          <w:sz-cs w:val="24"/>
          <w:color w:val="000000"/>
        </w:rPr>
        <w:t xml:space="preserve"> My interest in sustainability started back during my days in investment banking. Being faced with financial capitalism every day, I grew to be aware of the inequities and damage that high finance does. Over the years, I came to know of people who were involved in sustainability start-ups, and I sat on a few boards of such companies. I started a teaching gig at Yale-NUS College after gaining all this experience and created a curriculum surrounding sustainability. It just felt natural to start a business venture on it. RIMM is a culmination of my life experiences, essentially.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Junko: </w:t>
      </w:r>
      <w:r>
        <w:rPr>
          <w:rFonts w:ascii="Times New Roman" w:hAnsi="Times New Roman" w:cs="Times New Roman"/>
          <w:sz w:val="24"/>
          <w:sz-cs w:val="24"/>
          <w:color w:val="000000"/>
        </w:rPr>
        <w:t xml:space="preserve">I believe Osamu met you back in 2019. We had been looking for a good reporting tool as we could not find any existing service meeting mid-cap GPs’ needs and decided to invest in RIMM’s seed round. Ever since, we have been working together as one team to develop a GP-oriented assessment and the Fund Manager Dashboard. During these times, how did your team develop, what is the role of your Scientific Board and what is the plan for future?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Ravi: </w:t>
      </w:r>
      <w:r>
        <w:rPr>
          <w:rFonts w:ascii="Times New Roman" w:hAnsi="Times New Roman" w:cs="Times New Roman"/>
          <w:sz w:val="24"/>
          <w:sz-cs w:val="24"/>
          <w:color w:val="000000"/>
        </w:rPr>
        <w:t xml:space="preserve">Our team has grown significantly over the past few years. We currently have around 25 employees and a growing tech and product team to keep up with customer demands. We also have a strong research and education team, who makes sure that RIMM is staying updated with sustainability trends.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The Scientific Board consists of world-class experts in various fields such as finance, sustainability, and environmental science. Dr. Kim Schumacher, one of Unison’s advisors, is a member of the board. The Scientific Board has two main roles. The first is to assist RIMM in evaluating, reviewing and contributing to the thought leadership of the company, especially in relation to ESG data analytics and environmental data. There will also be a special focus on </w:t>
      </w:r>
      <w:r>
        <w:rPr>
          <w:rFonts w:ascii="Times New Roman" w:hAnsi="Times New Roman" w:cs="Times New Roman"/>
          <w:sz w:val="24"/>
          <w:sz-cs w:val="24"/>
          <w:color w:val="222222"/>
        </w:rPr>
        <w:t xml:space="preserve">cutting-edge carbon inventory and mitigation models, which will be shared with clients</w:t>
      </w:r>
      <w:r>
        <w:rPr>
          <w:rFonts w:ascii="Times New Roman" w:hAnsi="Times New Roman" w:cs="Times New Roman"/>
          <w:sz w:val="24"/>
          <w:sz-cs w:val="24"/>
          <w:color w:val="000000"/>
        </w:rPr>
        <w:t xml:space="preserve">. The second is to maintain a curated list of scientific experts that will assist RIMM and RIMM’s clients by providing advice and scientifically</w:t>
      </w:r>
      <w:r>
        <w:rPr>
          <w:rFonts w:ascii="Times" w:hAnsi="Times" w:cs="Times"/>
          <w:sz w:val="24"/>
          <w:sz-cs w:val="24"/>
          <w:color w:val="000000"/>
        </w:rPr>
        <w:t xml:space="preserve"> </w:t>
      </w:r>
      <w:r>
        <w:rPr>
          <w:rFonts w:ascii="Times New Roman" w:hAnsi="Times New Roman" w:cs="Times New Roman"/>
          <w:sz w:val="24"/>
          <w:sz-cs w:val="24"/>
          <w:color w:val="000000"/>
        </w:rPr>
        <w:t xml:space="preserve">backed verification on their sustainability reporting or any other related initiatives.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We are aiming to make a widespread impact. Right now, we are focusing on co-development opportunities to boost RIMM’s ability to help all types of companies. We are developing comprehensive sustainability solutions for large enterprise to address sustainability needs within their network. These large enterprises, such as financial institutions and insurance companies, often have a large SME network and we work with them to develop solutions for these SMEs. We create a holistic, end-to-end journey that enables enterprises and their network to achieve their sustainability goals.</w:t>
      </w:r>
      <w:r>
        <w:rPr>
          <w:rFonts w:ascii="Times New Roman" w:hAnsi="Times New Roman" w:cs="Times New Roman"/>
          <w:sz w:val="24"/>
          <w:sz-cs w:val="24"/>
        </w:rPr>
        <w:t xml:space="preserve"> With Unison’s support, we established a Japanese corporation, and in March of this year we were selected to participate in the “</w:t>
      </w:r>
      <w:r>
        <w:rPr>
          <w:rFonts w:ascii="Times New Roman" w:hAnsi="Times New Roman" w:cs="Times New Roman"/>
          <w:sz w:val="24"/>
          <w:sz-cs w:val="24"/>
          <w:color w:val="4D5156"/>
        </w:rPr>
        <w:t xml:space="preserve">Green Finance Subsidy Program for Tokyo Market Entry”. We are working with several financial institutions and business corporations on implementing RIMM’s services, and in future will look to expand this type of offering along with products intended for fund managers to other countries.</w:t>
      </w:r>
      <w:r>
        <w:rPr>
          <w:rFonts w:ascii="Times New Roman" w:hAnsi="Times New Roman" w:cs="Times New Roman"/>
          <w:sz w:val="24"/>
          <w:sz-cs w:val="24"/>
        </w:rPr>
        <w:t xml:space="preserve"> </w:t>
      </w:r>
    </w:p>
    <w:p>
      <w:pPr/>
      <w:r>
        <w:rPr>
          <w:rFonts w:ascii="Times New Roman" w:hAnsi="Times New Roman" w:cs="Times New Roman"/>
          <w:sz w:val="24"/>
          <w:sz-cs w:val="24"/>
        </w:rPr>
        <w:t xml:space="preserve"/>
      </w:r>
    </w:p>
    <w:p>
      <w:pPr/>
      <w:r>
        <w:rPr>
          <w:rFonts w:ascii="Times New Roman" w:hAnsi="Times New Roman" w:cs="Times New Roman"/>
          <w:sz w:val="24"/>
          <w:sz-cs w:val="24"/>
          <w:b/>
          <w:color w:val="000000"/>
        </w:rPr>
        <w:t xml:space="preserve">Junko:</w:t>
      </w:r>
      <w:r>
        <w:rPr>
          <w:rFonts w:ascii="Times New Roman" w:hAnsi="Times New Roman" w:cs="Times New Roman"/>
          <w:sz w:val="24"/>
          <w:sz-cs w:val="24"/>
          <w:color w:val="000000"/>
        </w:rPr>
        <w:t xml:space="preserve"> When I first took on ESG responsibilities at Unison, I was overwhelmed by the number of different disclosure requirements. While RIMM is primarily referring to the Global Reporting Initiative (GRI) and the Sustainability Accounting Standards Board (SASB), other entities and government bodies are also trying to set different disclosure standards. Could you share your insight with us on how you see the future of this “standard setting war” and potential convergence?</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Ravi:</w:t>
      </w:r>
      <w:r>
        <w:rPr>
          <w:rFonts w:ascii="Times New Roman" w:hAnsi="Times New Roman" w:cs="Times New Roman"/>
          <w:sz w:val="24"/>
          <w:sz-cs w:val="24"/>
          <w:color w:val="000000"/>
        </w:rPr>
        <w:t xml:space="preserve"> To start us off from the very beginning, GRI is one of the very first sustainability reporting standards that was created and is the most commonly used one currently worldwide. It is an industry-agnostic reporting standard that is currently in the process of developing recommended sector-specific sustainability disclosures.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As for SASB, it is viewed from investor and financial perspectives, such as what ESG criteria are important for the financial performance of a company. There is also the Task Force on Climate-related Financial Disclosures (TCFD), which was created by the Financial Stability Board (FSB) at the request of the G20, and is currently a fast-growing standard in Japan and the rest of the world as it considers climate risks and their impact on financial performance.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It has been estimated that there are around 600 environment, social and governance reporting standards globally, often described as an ‘alphabet soup’ of sustainability standards. They mainly consist of voluntary disclosure regimes and initiatives that have surfaced over the last couple of years especially with the increasing recognition of the importance of ESG. However, the multitude of standards present also poses various challenges for companies - they lack meaningful guidance as to which reporting frameworks and standards to follow. Shareholders and investors expect boards to be fluent in sustainability, which is difficult to do without a common language.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However, recently, some standards have been undergoing convergence. The Value Reporting Foundation, which operates several standards including SASB, will consolidate all of the standards under the IFRS Foundation, which is currently establishing the new International Sustainability Standards Board (ISSB) to develop a unified international standard for company ESG disclosures.</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Junko:</w:t>
      </w:r>
      <w:r>
        <w:rPr>
          <w:rFonts w:ascii="Times New Roman" w:hAnsi="Times New Roman" w:cs="Times New Roman"/>
          <w:sz w:val="24"/>
          <w:sz-cs w:val="24"/>
          <w:color w:val="000000"/>
        </w:rPr>
        <w:t xml:space="preserve"> Lastly, as a mid-cap GP, where do you think Unison can make a difference? How should we communicate our progress with our stakeholders?</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222222"/>
        </w:rPr>
        <w:t xml:space="preserve">Ravi:</w:t>
      </w:r>
      <w:r>
        <w:rPr>
          <w:rFonts w:ascii="Times New Roman" w:hAnsi="Times New Roman" w:cs="Times New Roman"/>
          <w:sz w:val="24"/>
          <w:sz-cs w:val="24"/>
          <w:color w:val="222222"/>
        </w:rPr>
        <w:t xml:space="preserve"> Unison, as a private equity fund, has a strong responsibility to be a sustainable steward and owner of these companies from an ESG perspective. Ownership allows Unison to implement ESG bottom-up at all portfolio companies. Implementing ESG will reduce exit risks from due diligence, create genuine value for the company, as well as create an impact on society as measured by SDGs.</w:t>
      </w:r>
      <w:r>
        <w:rPr>
          <w:rFonts w:ascii="Times New Roman" w:hAnsi="Times New Roman" w:cs="Times New Roman"/>
          <w:sz w:val="20"/>
          <w:sz-cs w:val="20"/>
          <w:color w:val="222222"/>
        </w:rPr>
        <w:t xml:space="preserve"> </w:t>
      </w:r>
      <w:r>
        <w:rPr>
          <w:rFonts w:ascii="Times New Roman" w:hAnsi="Times New Roman" w:cs="Times New Roman"/>
          <w:sz w:val="24"/>
          <w:sz-cs w:val="24"/>
          <w:color w:val="000000"/>
        </w:rPr>
        <w:t xml:space="preserve">Establishing robust communication channels and involving your stakeholders in frequent progress updates is key.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Junko</w:t>
      </w:r>
      <w:r>
        <w:rPr>
          <w:rFonts w:ascii="Times New Roman" w:hAnsi="Times New Roman" w:cs="Times New Roman"/>
          <w:sz w:val="24"/>
          <w:sz-cs w:val="24"/>
          <w:color w:val="000000"/>
        </w:rPr>
        <w:t xml:space="preserve">: Thank you so much for your valuable inputs. We are committed to building an ecosystem in ESG and Sustainability and being a shareholder and co-development partner of RIMM is a great help to Unison in this respect. We also enjoy working with your young, energetic team and very much looking forward to further collaboration in future. </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b/>
          <w:color w:val="000000"/>
        </w:rPr>
        <w:t xml:space="preserve">Ravi: </w:t>
      </w:r>
      <w:r>
        <w:rPr>
          <w:rFonts w:ascii="Times New Roman" w:hAnsi="Times New Roman" w:cs="Times New Roman"/>
          <w:sz w:val="24"/>
          <w:sz-cs w:val="24"/>
          <w:color w:val="000000"/>
        </w:rPr>
        <w:t xml:space="preserve">Thank you, we also look forward to working with you!</w:t>
      </w:r>
    </w:p>
    <w:p>
      <w:pP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Ravi Chidambaram</w:t>
      </w:r>
    </w:p>
    <w:p>
      <w:pPr/>
      <w:r>
        <w:rPr>
          <w:rFonts w:ascii="Times New Roman" w:hAnsi="Times New Roman" w:cs="Times New Roman"/>
          <w:sz w:val="21"/>
          <w:sz-cs w:val="21"/>
        </w:rPr>
        <w:t xml:space="preserve">RIMM Sustainability Ltd. Founder and CEO</w:t>
      </w:r>
    </w:p>
    <w:p>
      <w:pPr/>
      <w:r>
        <w:rPr>
          <w:rFonts w:ascii="Times New Roman" w:hAnsi="Times New Roman" w:cs="Times New Roman"/>
          <w:sz w:val="21"/>
          <w:sz-cs w:val="21"/>
        </w:rPr>
        <w:t xml:space="preserve"> </w:t>
      </w:r>
    </w:p>
    <w:p>
      <w:pPr/>
      <w:r>
        <w:rPr>
          <w:rFonts w:ascii="Times New Roman" w:hAnsi="Times New Roman" w:cs="Times New Roman"/>
          <w:sz w:val="21"/>
          <w:sz-cs w:val="21"/>
        </w:rPr>
        <w:t xml:space="preserve">Extensive experience in investment banking, including with Goldman Sachs, and has founded four start-ups to date.</w:t>
      </w:r>
    </w:p>
    <w:p>
      <w:pPr/>
      <w:r>
        <w:rPr>
          <w:rFonts w:ascii="Times New Roman" w:hAnsi="Times New Roman" w:cs="Times New Roman"/>
          <w:sz w:val="21"/>
          <w:sz-cs w:val="21"/>
        </w:rPr>
        <w:t xml:space="preserve">Currently an Adjunct Professor of Sustainability at Yale-NUS College, Ravi founded RIMM Sustainability as part of his passion for helping business become sustainable.</w:t>
      </w:r>
    </w:p>
    <w:p>
      <w:pPr/>
      <w:r>
        <w:rPr>
          <w:rFonts w:ascii="Times New Roman" w:hAnsi="Times New Roman" w:cs="Times New Roman"/>
          <w:sz w:val="21"/>
          <w:sz-cs w:val="21"/>
        </w:rPr>
        <w:t xml:space="preserve"/>
      </w:r>
    </w:p>
    <w:p>
      <w:pPr/>
      <w:r>
        <w:rPr>
          <w:rFonts w:ascii="Times" w:hAnsi="Times" w:cs="Times"/>
          <w:sz w:val="24"/>
          <w:sz-cs w:val="24"/>
        </w:rPr>
        <w:t xml:space="preserve">We have continued our co-development partnership with RIMM on building a GP-oriented sustainability platform. In this section, we introduce the latest developments and future goals. </w:t>
      </w:r>
    </w:p>
    <w:p>
      <w:pPr/>
      <w:r>
        <w:rPr>
          <w:rFonts w:ascii="Times" w:hAnsi="Times" w:cs="Times"/>
          <w:sz w:val="24"/>
          <w:sz-cs w:val="24"/>
        </w:rPr>
        <w:t xml:space="preserve"/>
      </w:r>
    </w:p>
    <w:p>
      <w:pPr/>
      <w:r>
        <w:rPr>
          <w:rFonts w:ascii="Times" w:hAnsi="Times" w:cs="Times"/>
          <w:sz w:val="24"/>
          <w:sz-cs w:val="24"/>
        </w:rPr>
        <w:t xml:space="preserve">RIMM’s platform provides Unison’s portfolio companies with assessments customized by industry and based on international standards including GRI and SASB, resulting in scoring reports that includes competitor benchmarks. For GPs, RIMM provides a dashboard that enables GPs to view and compare portfolio companies’ responses and benchmark results.</w:t>
      </w:r>
    </w:p>
    <w:p>
      <w:pPr/>
      <w:r>
        <w:rPr>
          <w:rFonts w:ascii="Times" w:hAnsi="Times" w:cs="Times"/>
          <w:sz w:val="24"/>
          <w:sz-cs w:val="24"/>
        </w:rPr>
        <w:t xml:space="preserve"/>
      </w:r>
    </w:p>
    <w:p>
      <w:pPr/>
      <w:r>
        <w:rPr>
          <w:rFonts w:ascii="Times" w:hAnsi="Times" w:cs="Times"/>
          <w:sz w:val="24"/>
          <w:sz-cs w:val="24"/>
        </w:rPr>
        <w:t xml:space="preserve">With RIMM’s scoring reports, portfolio companies can now evaluate their sustainability efforts from an industry-level perspective and check their progress through regular assessments. Through competitive benchmarks, portfolio companies can understand what activities and efforts are being furthered in their respective industries, and better identify and review focus areas. While RIMM currently refers to global database Refinitiv to benchmark portfolio companies against listed companies in the appropriate industry, plans are in place to aggregate data from private companies by offering RIMM’s assessment to a wider audience and in future build a proprietary database to allow more detailed benchmarking. By enabling this type of competitor benchmarking, we believe portfolio companies can better identify how society evaluates specific sustainability efforts as well as optimize their sustainability goals to tie in with value creation.</w:t>
      </w:r>
    </w:p>
    <w:p>
      <w:pPr/>
      <w:r>
        <w:rPr>
          <w:rFonts w:ascii="Times" w:hAnsi="Times" w:cs="Times"/>
          <w:sz w:val="24"/>
          <w:sz-cs w:val="24"/>
        </w:rPr>
        <w:t xml:space="preserve"/>
      </w:r>
    </w:p>
    <w:p>
      <w:pPr/>
      <w:r>
        <w:rPr>
          <w:rFonts w:ascii="Hiragino Mincho ProN" w:hAnsi="Hiragino Mincho ProN" w:cs="Hiragino Mincho ProN"/>
          <w:sz w:val="24"/>
          <w:sz-cs w:val="24"/>
        </w:rPr>
        <w:t xml:space="preserve">（挿入図：スコアリングレポートのスクリーンショット</w:t>
      </w:r>
      <w:r>
        <w:rPr>
          <w:rFonts w:ascii="Times" w:hAnsi="Times" w:cs="Times"/>
          <w:sz w:val="24"/>
          <w:sz-cs w:val="24"/>
        </w:rPr>
        <w:t xml:space="preserve">2</w:t>
      </w:r>
      <w:r>
        <w:rPr>
          <w:rFonts w:ascii="Hiragino Mincho ProN" w:hAnsi="Hiragino Mincho ProN" w:cs="Hiragino Mincho ProN"/>
          <w:sz w:val="24"/>
          <w:sz-cs w:val="24"/>
        </w:rPr>
        <w:t xml:space="preserve">枚）</w:t>
      </w:r>
      <w:r>
        <w:rPr>
          <w:rFonts w:ascii="Times" w:hAnsi="Times" w:cs="Times"/>
          <w:sz w:val="24"/>
          <w:sz-cs w:val="24"/>
        </w:rPr>
        <w:t xml:space="preserve"/>
      </w:r>
    </w:p>
    <w:p>
      <w:pPr/>
      <w:r>
        <w:rPr>
          <w:rFonts w:ascii="Hiragino Mincho ProN" w:hAnsi="Hiragino Mincho ProN" w:cs="Hiragino Mincho ProN"/>
          <w:sz w:val="24"/>
          <w:sz-cs w:val="24"/>
        </w:rPr>
        <w:t xml:space="preserve">キャプチャ①：</w:t>
      </w:r>
      <w:r>
        <w:rPr>
          <w:rFonts w:ascii="Times" w:hAnsi="Times" w:cs="Times"/>
          <w:sz w:val="24"/>
          <w:sz-cs w:val="24"/>
        </w:rPr>
        <w:t xml:space="preserve">RIMM report: scoring page</w:t>
      </w:r>
    </w:p>
    <w:p>
      <w:pPr/>
      <w:r>
        <w:rPr>
          <w:rFonts w:ascii="Hiragino Mincho ProN" w:hAnsi="Hiragino Mincho ProN" w:cs="Hiragino Mincho ProN"/>
          <w:sz w:val="24"/>
          <w:sz-cs w:val="24"/>
        </w:rPr>
        <w:t xml:space="preserve">キャプチャ②：</w:t>
      </w:r>
      <w:r>
        <w:rPr>
          <w:rFonts w:ascii="Times" w:hAnsi="Times" w:cs="Times"/>
          <w:sz w:val="24"/>
          <w:sz-cs w:val="24"/>
        </w:rPr>
        <w:t xml:space="preserve">RIMM report: competitor benchmarking</w:t>
      </w:r>
    </w:p>
    <w:p>
      <w:pPr/>
      <w:r>
        <w:rPr>
          <w:rFonts w:ascii="Times" w:hAnsi="Times" w:cs="Times"/>
          <w:sz w:val="24"/>
          <w:sz-cs w:val="24"/>
        </w:rPr>
        <w:t xml:space="preserve"/>
      </w:r>
    </w:p>
    <w:p>
      <w:pPr/>
      <w:r>
        <w:rPr>
          <w:rFonts w:ascii="Times" w:hAnsi="Times" w:cs="Times"/>
          <w:sz w:val="24"/>
          <w:sz-cs w:val="24"/>
        </w:rPr>
        <w:t xml:space="preserve">RIMM’s dashboard enables GPs to make clearer comparisons – such as comparing scores between consumer sector companies A and B and investigate company B’s waste recycling initiatives, which company A is falling behind on – as well as promote key initiatives across the GP’s portfolio companies. The dashboard is useful for Unison, which manages more than 15 portfolio companies, as it provides a simple, comprehensive update of the entire portfolio’s sustainability activities, and assists in efforts to introduce best practices across the portfolio while ensuring that no companies are left behind.</w:t>
      </w:r>
    </w:p>
    <w:p>
      <w:pPr/>
      <w:r>
        <w:rPr>
          <w:rFonts w:ascii="Times" w:hAnsi="Times" w:cs="Times"/>
          <w:sz w:val="24"/>
          <w:sz-cs w:val="24"/>
        </w:rPr>
        <w:t xml:space="preserve"/>
      </w:r>
    </w:p>
    <w:p>
      <w:pPr/>
      <w:r>
        <w:rPr>
          <w:rFonts w:ascii="Hiragino Mincho ProN" w:hAnsi="Hiragino Mincho ProN" w:cs="Hiragino Mincho ProN"/>
          <w:sz w:val="24"/>
          <w:sz-cs w:val="24"/>
        </w:rPr>
        <w:t xml:space="preserve">（挿入図：</w:t>
      </w:r>
      <w:r>
        <w:rPr>
          <w:rFonts w:ascii="Times" w:hAnsi="Times" w:cs="Times"/>
          <w:sz w:val="24"/>
          <w:sz-cs w:val="24"/>
        </w:rPr>
        <w:t xml:space="preserve">Fund Manager Dashboard</w:t>
      </w:r>
      <w:r>
        <w:rPr>
          <w:rFonts w:ascii="Hiragino Mincho ProN" w:hAnsi="Hiragino Mincho ProN" w:cs="Hiragino Mincho ProN"/>
          <w:sz w:val="24"/>
          <w:sz-cs w:val="24"/>
        </w:rPr>
        <w:t xml:space="preserve">のスクリーンショット</w:t>
      </w:r>
      <w:r>
        <w:rPr>
          <w:rFonts w:ascii="Times" w:hAnsi="Times" w:cs="Times"/>
          <w:sz w:val="24"/>
          <w:sz-cs w:val="24"/>
        </w:rPr>
        <w:t xml:space="preserve">1</w:t>
      </w:r>
      <w:r>
        <w:rPr>
          <w:rFonts w:ascii="Hiragino Mincho ProN" w:hAnsi="Hiragino Mincho ProN" w:cs="Hiragino Mincho ProN"/>
          <w:sz w:val="24"/>
          <w:sz-cs w:val="24"/>
        </w:rPr>
        <w:t xml:space="preserve">枚）</w:t>
      </w:r>
      <w:r>
        <w:rPr>
          <w:rFonts w:ascii="Times" w:hAnsi="Times" w:cs="Times"/>
          <w:sz w:val="24"/>
          <w:sz-cs w:val="24"/>
        </w:rPr>
        <w:t xml:space="preserve"/>
      </w:r>
    </w:p>
    <w:p>
      <w:pPr/>
      <w:r>
        <w:rPr>
          <w:rFonts w:ascii="Hiragino Mincho ProN" w:hAnsi="Hiragino Mincho ProN" w:cs="Hiragino Mincho ProN"/>
          <w:sz w:val="24"/>
          <w:sz-cs w:val="24"/>
        </w:rPr>
        <w:t xml:space="preserve">キャプチャ③：</w:t>
      </w:r>
      <w:r>
        <w:rPr>
          <w:rFonts w:ascii="Times" w:hAnsi="Times" w:cs="Times"/>
          <w:sz w:val="24"/>
          <w:sz-cs w:val="24"/>
        </w:rPr>
        <w:t xml:space="preserve">Dashboard (Unison portfolio comparison)</w:t>
      </w:r>
    </w:p>
    <w:p>
      <w:pPr/>
      <w:r>
        <w:rPr>
          <w:rFonts w:ascii="Times" w:hAnsi="Times" w:cs="Times"/>
          <w:sz w:val="24"/>
          <w:sz-cs w:val="24"/>
        </w:rPr>
        <w:t xml:space="preserve"/>
      </w:r>
    </w:p>
    <w:p>
      <w:pPr/>
      <w:r>
        <w:rPr>
          <w:rFonts w:ascii="Times" w:hAnsi="Times" w:cs="Times"/>
          <w:sz w:val="24"/>
          <w:sz-cs w:val="24"/>
        </w:rPr>
        <w:t xml:space="preserve">During 2021 and 2022, all of Unison’s portfolio companies have been able to undergo a RIMM assessment. In future, we plan to refer to the assessment’s scoring reports to evaluate key areas of focus for each portfolio company, discuss potential initiatives, and set clear mid-term goals. We will also be continuing our partnership with RIMM and improving scoring report and dashboard functionality, particularly given the lack of available competitor benchmarking data for certain industries, to provide the best possible tool for portfolio companies to effectively drive change.</w:t>
      </w:r>
    </w:p>
    <w:p>
      <w:pPr/>
      <w:r>
        <w:rPr>
          <w:rFonts w:ascii="Times" w:hAnsi="Times" w:cs="Times"/>
          <w:sz w:val="24"/>
          <w:sz-cs w:val="24"/>
        </w:rPr>
        <w:t xml:space="preserve"/>
      </w:r>
    </w:p>
    <w:p>
      <w:pPr/>
      <w:r>
        <w:rPr>
          <w:rFonts w:ascii="Times" w:hAnsi="Times" w:cs="Times"/>
          <w:sz w:val="24"/>
          <w:sz-cs w:val="24"/>
        </w:rPr>
        <w:t xml:space="preserve">From 2022, Unison also joined ILPA’s ESG Data Convergence Initiative. This initiative, led by California Public Employees’ Retirement System (CalPERS) and Carlyle, works with both GPs and LPs to tackle the issue of unclear ESG data disclosure standards in the private equity industry by effectively collecting fundamental ESG data and sharing analytical results. We plan to integrate the initiative’s required data points into RIMM’s dashboard and collect data through the RIMM assessment.</w:t>
      </w:r>
    </w:p>
    <w:p>
      <w:pPr/>
      <w:r>
        <w:rPr>
          <w:rFonts w:ascii="Times" w:hAnsi="Times" w:cs="Times"/>
          <w:sz w:val="24"/>
          <w:sz-cs w:val="24"/>
        </w:rPr>
        <w:t xml:space="preserve"/>
      </w:r>
    </w:p>
    <w:p>
      <w:pPr/>
      <w:r>
        <w:rPr>
          <w:rFonts w:ascii="Times" w:hAnsi="Times" w:cs="Times"/>
          <w:sz w:val="24"/>
          <w:sz-cs w:val="24"/>
        </w:rPr>
        <w:t xml:space="preserve">On a final note, Unison’s commitment to building an internal, specialized GP-oriented platform is due to the achievement gaps that we see arising when small to mid-cap companies’ sustainability efforts rely on existing external assessment services. Small to mid-cap companies, which operate with limited budgets and few experts in the field often struggle to answer the elaborate questions included in assessments designed for larger listed corporations, resulting in unrealistic goals that do not best represent what these companies can effectively achieve. Unison’s experience with small to mid-cap companies has taught us that these companies require both realistic and repeatable methods to achieve their crucial role in improving sustainability for society at large. Our goal is that these tools will enable portfolio companies to proactively build their own sustainability initiatives and contribute to society, both during and beyond Unison’s investment period.</w:t>
      </w:r>
    </w:p>
    <w:p>
      <w:pPr/>
      <w:r>
        <w:rPr>
          <w:rFonts w:ascii="Times" w:hAnsi="Times" w:cs="Times"/>
          <w:sz w:val="24"/>
          <w:sz-cs w:val="24"/>
          <w:b/>
        </w:rPr>
        <w:t xml:space="preserve">Integrated CNS Regional Care Systems</w:t>
      </w:r>
    </w:p>
    <w:p>
      <w:pPr/>
      <w:r>
        <w:rPr>
          <w:rFonts w:ascii="Times" w:hAnsi="Times" w:cs="Times"/>
          <w:sz w:val="24"/>
          <w:sz-cs w:val="24"/>
          <w:b/>
        </w:rPr>
        <w:t xml:space="preserve">The significance and challenges</w:t>
      </w:r>
    </w:p>
    <w:p>
      <w:pPr/>
      <w:r>
        <w:rPr>
          <w:rFonts w:ascii="Times" w:hAnsi="Times" w:cs="Times"/>
          <w:sz w:val="24"/>
          <w:sz-cs w:val="24"/>
          <w:b/>
          <w:color w:val="A6A6A6"/>
        </w:rPr>
        <w:t xml:space="preserve">Transitioning from in-patient treatment to community life</w:t>
      </w:r>
    </w:p>
    <w:p>
      <w:pPr/>
      <w:r>
        <w:rPr>
          <w:rFonts w:ascii="Times" w:hAnsi="Times" w:cs="Times"/>
          <w:sz w:val="24"/>
          <w:sz-cs w:val="24"/>
          <w:b/>
          <w:color w:val="A6A6A6"/>
        </w:rPr>
        <w:t xml:space="preserve">———Evolution of pharmaceutical treatments</w:t>
      </w:r>
    </w:p>
    <w:p>
      <w:pPr/>
      <w:r>
        <w:rPr>
          <w:rFonts w:ascii="Times" w:hAnsi="Times" w:cs="Times"/>
          <w:sz w:val="24"/>
          <w:sz-cs w:val="24"/>
          <w:b/>
          <w:color w:val="A6A6A6"/>
        </w:rPr>
        <w:t xml:space="preserve">Building and supporting integrated regional care systems</w:t>
      </w:r>
    </w:p>
    <w:p>
      <w:pPr/>
      <w:r>
        <w:rPr>
          <w:rFonts w:ascii="Times" w:hAnsi="Times" w:cs="Times"/>
          <w:sz w:val="24"/>
          <w:sz-cs w:val="24"/>
          <w:b/>
          <w:color w:val="A6A6A6"/>
        </w:rPr>
        <w:t xml:space="preserve"/>
      </w:r>
    </w:p>
    <w:p>
      <w:pPr/>
      <w:r>
        <w:rPr>
          <w:rFonts w:ascii="Times" w:hAnsi="Times" w:cs="Times"/>
          <w:sz w:val="24"/>
          <w:sz-cs w:val="24"/>
        </w:rPr>
        <w:t xml:space="preserve">Foreword: The concept of “integrated regional care system”, systems constructed to have local communities lead medical, nursing and community support services, was codified into law in 2004 as a pillar of Japan’s social security system. Relevant activities have accelerated since 2017, when system coverage expanded from not only Japan’s elderly population but to also those with mental health conditions and neurological diseases. As a response to these reforms, Unison has looked to expand CNS-related investment activities while continuing its focus on building infrastructure to support patient lives through its healthcare investments. This section explores the actions various medical service businesses are taking to increase industrywide partnerships, and considers what the future may hold for the CNS field in Japan.</w:t>
      </w:r>
      <w:r>
        <w:rPr>
          <w:rFonts w:ascii="Times" w:hAnsi="Times" w:cs="Times"/>
          <w:sz w:val="24"/>
          <w:sz-cs w:val="24"/>
          <w:b/>
        </w:rPr>
        <w:t xml:space="preserve"> </w:t>
      </w:r>
    </w:p>
    <w:p>
      <w:pPr/>
      <w:r>
        <w:rPr>
          <w:rFonts w:ascii="Times" w:hAnsi="Times" w:cs="Times"/>
          <w:sz w:val="24"/>
          <w:sz-cs w:val="24"/>
          <w:b/>
        </w:rPr>
        <w:t xml:space="preserve"/>
      </w:r>
    </w:p>
    <w:p>
      <w:pPr/>
      <w:r>
        <w:rPr>
          <w:rFonts w:ascii="Times" w:hAnsi="Times" w:cs="Times"/>
          <w:sz w:val="24"/>
          <w:sz-cs w:val="24"/>
        </w:rPr>
        <w:t xml:space="preserve">Tatsunari Morimoto (N.Field CEO)</w:t>
      </w:r>
    </w:p>
    <w:p>
      <w:pPr/>
      <w:r>
        <w:rPr>
          <w:rFonts w:ascii="Times" w:hAnsi="Times" w:cs="Times"/>
          <w:sz w:val="24"/>
          <w:sz-cs w:val="24"/>
        </w:rPr>
        <w:t xml:space="preserve">Hajime Nakamura (N.Field Business Management Department, Public Relations Director, Certified Nurse Specialist in Psychiatric Mental Health Nursing)</w:t>
      </w:r>
    </w:p>
    <w:p>
      <w:pPr/>
      <w:r>
        <w:rPr>
          <w:rFonts w:ascii="Times" w:hAnsi="Times" w:cs="Times"/>
          <w:sz w:val="24"/>
          <w:sz-cs w:val="24"/>
        </w:rPr>
        <w:t xml:space="preserve">x</w:t>
      </w:r>
    </w:p>
    <w:p>
      <w:pPr/>
      <w:r>
        <w:rPr>
          <w:rFonts w:ascii="Times" w:hAnsi="Times" w:cs="Times"/>
          <w:sz w:val="24"/>
          <w:sz-cs w:val="24"/>
        </w:rPr>
        <w:t xml:space="preserve">Eri Kawana (Unison Capital Investor Solutions Team)</w:t>
      </w:r>
    </w:p>
    <w:p>
      <w:pPr/>
      <w:r>
        <w:rPr>
          <w:rFonts w:ascii="Times" w:hAnsi="Times" w:cs="Times"/>
          <w:sz w:val="24"/>
          <w:sz-cs w:val="24"/>
        </w:rPr>
        <w:t xml:space="preserve"/>
      </w:r>
    </w:p>
    <w:p>
      <w:pPr/>
      <w:r>
        <w:rPr>
          <w:rFonts w:ascii="Times" w:hAnsi="Times" w:cs="Times"/>
          <w:sz w:val="24"/>
          <w:sz-cs w:val="24"/>
          <w:b/>
        </w:rPr>
        <w:t xml:space="preserve">Eri: </w:t>
      </w:r>
      <w:r>
        <w:rPr>
          <w:rFonts w:ascii="Times" w:hAnsi="Times" w:cs="Times"/>
          <w:sz w:val="24"/>
          <w:sz-cs w:val="24"/>
        </w:rPr>
        <w:t xml:space="preserve">With the move to build regional integrated care systems across Japan, the industry is seeing more instances of hospitals, pharmacies and nursing services building alliances or partnerships. How has this presented itself in the CNS field and for N.Field, which provides at-home nursing services to patients with mental health conditions and neurological diseases? </w:t>
      </w:r>
    </w:p>
    <w:p>
      <w:pPr/>
      <w:r>
        <w:rPr>
          <w:rFonts w:ascii="Times" w:hAnsi="Times" w:cs="Times"/>
          <w:sz w:val="24"/>
          <w:sz-cs w:val="24"/>
          <w:b/>
        </w:rPr>
        <w:t xml:space="preserve">Tatsunari: </w:t>
      </w:r>
      <w:r>
        <w:rPr>
          <w:rFonts w:ascii="Times" w:hAnsi="Times" w:cs="Times"/>
          <w:sz w:val="24"/>
          <w:sz-cs w:val="24"/>
        </w:rPr>
        <w:t xml:space="preserve">With the expanding aging population, we have seen a jump in medical institutions and at-home nursing operators offering at-home nursing services. The concept of regional care systems was introduced in order to further this trend of “shifting from hospitalization-centered treatment to regional care-centered treatment” in the CNS field. This principle was included in Japan’s Ministry of Health, Labour and Welfare’s 2004 “Vision of Mental Health and Medical Welfare Reform”, and its implementation has slowly but surely progressed, with a proactive push in recent years to enable patients with mental health conditions and neurological disorders to receive at-home care. The most recent data published in 2017 by the Ministry of Health, Labour and Welfare show that there are roughly four million people in Japan with a mental health condition or neurological disorder and that approximately 30,000 are hospitalized for treatment. Partnerships and alliances among psychiatric hospitals and services like N. Field have begun in order to enable these 30,000 patients to live and receive care at home. </w:t>
      </w:r>
    </w:p>
    <w:p>
      <w:pPr/>
      <w:r>
        <w:rPr>
          <w:rFonts w:ascii="Times" w:hAnsi="Times" w:cs="Times"/>
          <w:sz w:val="24"/>
          <w:sz-cs w:val="24"/>
          <w:b/>
        </w:rPr>
        <w:t xml:space="preserve">Eri:</w:t>
      </w:r>
      <w:r>
        <w:rPr>
          <w:rFonts w:ascii="Times" w:hAnsi="Times" w:cs="Times"/>
          <w:sz w:val="24"/>
          <w:sz-cs w:val="24"/>
        </w:rPr>
        <w:t xml:space="preserve"> Are these patients able to smoothly be discharged and reintegrate into their communities?</w:t>
      </w:r>
    </w:p>
    <w:p>
      <w:pPr/>
      <w:r>
        <w:rPr>
          <w:rFonts w:ascii="Times" w:hAnsi="Times" w:cs="Times"/>
          <w:sz w:val="24"/>
          <w:sz-cs w:val="24"/>
          <w:b/>
        </w:rPr>
        <w:t xml:space="preserve">Tatsunari: </w:t>
      </w:r>
      <w:r>
        <w:rPr>
          <w:rFonts w:ascii="Times" w:hAnsi="Times" w:cs="Times"/>
          <w:sz w:val="24"/>
          <w:sz-cs w:val="24"/>
        </w:rPr>
        <w:t xml:space="preserve">Patients often faced issues with their families or neighbors prior to their hospitalization, and with societal understanding around these conditions slow to progress, many patients’ families are left with a significant burden once patients are discharged. Many things need to be prepared to enable patients to live at home, including but not limited to determining their living situation and support system as they prepare to be independent. On the other hand, awareness around some conditions such as ADHD have grown, with opportunities to better understand these conditions, such as through people openly sharing their diagnosis and conditions on SNS. Japanese society’s understanding and acceptance of mental health conditions and neurological diseases are slowly growing, as are the breadth and depth of social services on offer to support patients.</w:t>
      </w:r>
    </w:p>
    <w:p>
      <w:pPr/>
      <w:r>
        <w:rPr>
          <w:rFonts w:ascii="Times" w:hAnsi="Times" w:cs="Times"/>
          <w:sz w:val="24"/>
          <w:sz-cs w:val="24"/>
          <w:b/>
        </w:rPr>
        <w:t xml:space="preserve">Hajime</w:t>
      </w:r>
      <w:r>
        <w:rPr>
          <w:rFonts w:ascii="Hiragino Mincho ProN" w:hAnsi="Hiragino Mincho ProN" w:cs="Hiragino Mincho ProN"/>
          <w:sz w:val="24"/>
          <w:sz-cs w:val="24"/>
          <w:b/>
        </w:rPr>
        <w:t xml:space="preserve">：</w:t>
      </w:r>
      <w:r>
        <w:rPr>
          <w:rFonts w:ascii="Times" w:hAnsi="Times" w:cs="Times"/>
          <w:sz w:val="24"/>
          <w:sz-cs w:val="24"/>
        </w:rPr>
        <w:t xml:space="preserve">It is not unusual for patients with mental health conditions and neurological disorders to spend years hospitalized, particularly when the patients’ communities do not fully understand the nature of these conditions. “Social hospitalization” is a term referring to this phenomenon, where patients not requiring medical treatment continue to be hospitalized. From the 2000s, hospitals were provided economic incentives by the government to discharge patients earlier, specifically within three months following hospitalization. Coupled with the advancement of pharmaceutical treatment options, concepts associated with hospital discharge support and integrated care gradually prevailed. It is only recently that the integrated regional care system has shifted towards catering not only to the elderly, but patients undergoing social hospitalization as well. Despite this progress, building sufficient social infrastructure to enable earlier hospital discharges remains a challenge. In addition to economic incentives for hospitals, the “Vision of Mental Health and Medical Welfare Reform” from 2004 that Tatsunari mentioned earlier outlines goals to reduce CNS-related hospitals by 70,000 beds, but as of 2016 the achieved reduction was only 18,000, the equivalent of 36,000 hospitalized patients. It shows that incentives for medical institutions inevitably fall short when the regional care systems meant to intake these patients remain weak. I also felt this challenge first-hand when I previously worked at a closed ward of a hospital, and joined N.Field due to a desire to better support hospitalization discharges. </w:t>
      </w:r>
    </w:p>
    <w:p>
      <w:pPr/>
      <w:r>
        <w:rPr>
          <w:rFonts w:ascii="Times" w:hAnsi="Times" w:cs="Times"/>
          <w:sz w:val="24"/>
          <w:sz-cs w:val="24"/>
          <w:b/>
        </w:rPr>
        <w:t xml:space="preserve">Eri: </w:t>
      </w:r>
      <w:r>
        <w:rPr>
          <w:rFonts w:ascii="Times" w:hAnsi="Times" w:cs="Times"/>
          <w:sz w:val="24"/>
          <w:sz-cs w:val="24"/>
        </w:rPr>
        <w:t xml:space="preserve">Specifically, what functions and services does N.Field provide for addressing this challenge? </w:t>
      </w:r>
    </w:p>
    <w:p>
      <w:pPr/>
      <w:r>
        <w:rPr>
          <w:rFonts w:ascii="Times" w:hAnsi="Times" w:cs="Times"/>
          <w:sz w:val="24"/>
          <w:sz-cs w:val="24"/>
          <w:b/>
        </w:rPr>
        <w:t xml:space="preserve">Hajime</w:t>
      </w:r>
      <w:r>
        <w:rPr>
          <w:rFonts w:ascii="Hiragino Mincho ProN" w:hAnsi="Hiragino Mincho ProN" w:cs="Hiragino Mincho ProN"/>
          <w:sz w:val="24"/>
          <w:sz-cs w:val="24"/>
          <w:b/>
        </w:rPr>
        <w:t xml:space="preserve">：</w:t>
      </w:r>
      <w:r>
        <w:rPr>
          <w:rFonts w:ascii="Times" w:hAnsi="Times" w:cs="Times"/>
          <w:sz w:val="24"/>
          <w:sz-cs w:val="24"/>
          <w:b/>
        </w:rPr>
        <w:t xml:space="preserve"> </w:t>
      </w:r>
      <w:r>
        <w:rPr>
          <w:rFonts w:ascii="Times" w:hAnsi="Times" w:cs="Times"/>
          <w:sz w:val="24"/>
          <w:sz-cs w:val="24"/>
        </w:rPr>
        <w:t xml:space="preserve">For patients who do not have a place to return to after being discharged, we provide a home for patients following hospital discharge by subleasing residential properties. Furthermore, as part of our at-home nursing services, we work with nurses, psychiatric social workers and occupational therapists to provide the care needed with regard to medication counseling, general livelihood support and external communication required for patients to return to work, school or their communities. Our comprehensive scope of at-home nursing services is intended to cater uniquely to the needs of our patients for them to recover most effectively. We emphasize and respect patients’ independence and work to build a flexible system around them that best supports their needs.</w:t>
      </w:r>
    </w:p>
    <w:p>
      <w:pPr/>
      <w:r>
        <w:rPr>
          <w:rFonts w:ascii="Times" w:hAnsi="Times" w:cs="Times"/>
          <w:sz w:val="24"/>
          <w:sz-cs w:val="24"/>
          <w:b/>
        </w:rPr>
        <w:t xml:space="preserve">Tatsunari</w:t>
      </w:r>
      <w:r>
        <w:rPr>
          <w:rFonts w:ascii="Hiragino Mincho ProN" w:hAnsi="Hiragino Mincho ProN" w:cs="Hiragino Mincho ProN"/>
          <w:sz w:val="24"/>
          <w:sz-cs w:val="24"/>
          <w:b/>
        </w:rPr>
        <w:t xml:space="preserve">：</w:t>
      </w:r>
      <w:r>
        <w:rPr>
          <w:rFonts w:ascii="Times" w:hAnsi="Times" w:cs="Times"/>
          <w:sz w:val="24"/>
          <w:sz-cs w:val="24"/>
        </w:rPr>
        <w:t xml:space="preserve">Our evolution is still mid-way. As an exciting next step, we are planning to expand homes supporting independent living as a realistic solution for patients that cannot live alone immediately after hospital discharge. Specifically, these homes provide the training and adjustment required for patients to eventually live alone. As CNS-related disorders often recur, flexible transitions between these homes, hospitals, and living alone are considered optimal for patients. With patients’ doctors kept up to date on a patient’s progress following hospital discharge, rehospitalization can also take place smoothly when necessary. We strongly believe that these homes will contribute significantly to advancing integrated regional care catered to CNS patients. </w:t>
        <w:br/>
        <w:t xml:space="preserve"/>
      </w:r>
      <w:r>
        <w:rPr>
          <w:rFonts w:ascii="Times" w:hAnsi="Times" w:cs="Times"/>
          <w:sz w:val="24"/>
          <w:sz-cs w:val="24"/>
          <w:b/>
        </w:rPr>
        <w:t xml:space="preserve">Eri: </w:t>
      </w:r>
      <w:r>
        <w:rPr>
          <w:rFonts w:ascii="Times" w:hAnsi="Times" w:cs="Times"/>
          <w:sz w:val="24"/>
          <w:sz-cs w:val="24"/>
        </w:rPr>
        <w:t xml:space="preserve">It sounds like implementation of the infrastructure required for providing integrated regional care towards CNS patients has made meaningful progress already. </w:t>
      </w:r>
    </w:p>
    <w:p>
      <w:pPr/>
      <w:r>
        <w:rPr>
          <w:rFonts w:ascii="Times" w:hAnsi="Times" w:cs="Times"/>
          <w:sz w:val="24"/>
          <w:sz-cs w:val="24"/>
          <w:b/>
        </w:rPr>
        <w:t xml:space="preserve">Tatsunari</w:t>
      </w:r>
      <w:r>
        <w:rPr>
          <w:rFonts w:ascii="Hiragino Mincho ProN" w:hAnsi="Hiragino Mincho ProN" w:cs="Hiragino Mincho ProN"/>
          <w:sz w:val="24"/>
          <w:sz-cs w:val="24"/>
          <w:b/>
        </w:rPr>
        <w:t xml:space="preserve">：</w:t>
      </w:r>
      <w:r>
        <w:rPr>
          <w:rFonts w:ascii="Times" w:hAnsi="Times" w:cs="Times"/>
          <w:sz w:val="24"/>
          <w:sz-cs w:val="24"/>
        </w:rPr>
        <w:t xml:space="preserve">While the work around institutions’ infrastructure is underway, there is still more to be done around better connecting with local communities. There is still a shortage of personnel responsible for supporting communities. At-home nursing presents more obstacles to hiring as nurses are required to provide more individual care versus nursing as part of a team at a hospital ward. The job also requires expertise in the CNS field, making talent recruitment a challenge.</w:t>
      </w:r>
    </w:p>
    <w:p>
      <w:pPr/>
      <w:r>
        <w:rPr>
          <w:rFonts w:ascii="Times" w:hAnsi="Times" w:cs="Times"/>
          <w:sz w:val="24"/>
          <w:sz-cs w:val="24"/>
          <w:b/>
        </w:rPr>
        <w:t xml:space="preserve">Hajime</w:t>
      </w:r>
      <w:r>
        <w:rPr>
          <w:rFonts w:ascii="Hiragino Mincho ProN" w:hAnsi="Hiragino Mincho ProN" w:cs="Hiragino Mincho ProN"/>
          <w:sz w:val="24"/>
          <w:sz-cs w:val="24"/>
          <w:b/>
        </w:rPr>
        <w:t xml:space="preserve">：</w:t>
      </w:r>
      <w:r>
        <w:rPr>
          <w:rFonts w:ascii="Times" w:hAnsi="Times" w:cs="Times"/>
          <w:sz w:val="24"/>
          <w:sz-cs w:val="24"/>
        </w:rPr>
        <w:t xml:space="preserve">Hospitals that are aligned with facilities/services like ourselves tend to more proactively undertake hospital discharge support activities. Hence, it is important for us to strengthen our network with hospitals. To really make a difference, it needs to be a bilateral and collaborative effort. As a first step, we will be collaborating with Washinzaka Hospital, a hospital CHCP group recently invested in, to further align and partner with medical institutions on improving patients’ path toward hospital discharge and transition to regional care. </w:t>
      </w:r>
    </w:p>
    <w:p>
      <w:pPr/>
      <w:r>
        <w:rPr>
          <w:rFonts w:ascii="Times" w:hAnsi="Times" w:cs="Times"/>
          <w:sz w:val="24"/>
          <w:sz-cs w:val="24"/>
          <w:b/>
        </w:rPr>
        <w:t xml:space="preserve">Tatsunari</w:t>
      </w:r>
      <w:r>
        <w:rPr>
          <w:rFonts w:ascii="Hiragino Mincho ProN" w:hAnsi="Hiragino Mincho ProN" w:cs="Hiragino Mincho ProN"/>
          <w:sz w:val="24"/>
          <w:sz-cs w:val="24"/>
          <w:b/>
        </w:rPr>
        <w:t xml:space="preserve">：</w:t>
      </w:r>
      <w:r>
        <w:rPr>
          <w:rFonts w:ascii="Times" w:hAnsi="Times" w:cs="Times"/>
          <w:sz w:val="24"/>
          <w:sz-cs w:val="24"/>
          <w:b/>
        </w:rPr>
        <w:t xml:space="preserve"> </w:t>
      </w:r>
      <w:r>
        <w:rPr>
          <w:rFonts w:ascii="Times" w:hAnsi="Times" w:cs="Times"/>
          <w:sz w:val="24"/>
          <w:sz-cs w:val="24"/>
        </w:rPr>
        <w:t xml:space="preserve">As I mentioned earlier, facilities and services that cater to patients following hospital discharges have grown and diversified. N. Field’s mission is to promote integrated regional care systems for patients nationwide, and we hope to make significant progress in supporting patients in their reintegration into their communities. </w:t>
      </w:r>
    </w:p>
    <w:p>
      <w:pPr/>
      <w:r>
        <w:rPr>
          <w:rFonts w:ascii="Times" w:hAnsi="Times" w:cs="Times"/>
          <w:sz w:val="24"/>
          <w:sz-cs w:val="24"/>
          <w:b/>
        </w:rPr>
        <w:t xml:space="preserve">Eri: </w:t>
      </w:r>
      <w:r>
        <w:rPr>
          <w:rFonts w:ascii="Times" w:hAnsi="Times" w:cs="Times"/>
          <w:sz w:val="24"/>
          <w:sz-cs w:val="24"/>
        </w:rPr>
        <w:t xml:space="preserve">Thank you for your time today. I am excited about what the future holds for N.Field in bettering the lives of its patients, and the unique model that can potentially be built with the CHCP group,</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b/>
          <w:color w:val="A6A6A6"/>
        </w:rPr>
        <w:t xml:space="preserve">The significance and challenges </w:t>
      </w:r>
    </w:p>
    <w:p>
      <w:pPr/>
      <w:r>
        <w:rPr>
          <w:rFonts w:ascii="Times" w:hAnsi="Times" w:cs="Times"/>
          <w:sz w:val="24"/>
          <w:sz-cs w:val="24"/>
          <w:b/>
        </w:rPr>
        <w:t xml:space="preserve">Transitioning from in-patient treatment to community life</w:t>
      </w:r>
    </w:p>
    <w:p>
      <w:pPr/>
      <w:r>
        <w:rPr>
          <w:rFonts w:ascii="Times" w:hAnsi="Times" w:cs="Times"/>
          <w:sz w:val="24"/>
          <w:sz-cs w:val="24"/>
          <w:b/>
        </w:rPr>
        <w:t xml:space="preserve">———Evolution of pharmaceutical treatments</w:t>
      </w:r>
    </w:p>
    <w:p>
      <w:pPr/>
      <w:r>
        <w:rPr>
          <w:rFonts w:ascii="Times" w:hAnsi="Times" w:cs="Times"/>
          <w:sz w:val="24"/>
          <w:sz-cs w:val="24"/>
          <w:b/>
          <w:color w:val="A6A6A6"/>
        </w:rPr>
        <w:t xml:space="preserve">Building and supporting integrated regional care systems</w:t>
      </w:r>
    </w:p>
    <w:p>
      <w:pPr/>
      <w:r>
        <w:rPr>
          <w:rFonts w:ascii="Times" w:hAnsi="Times" w:cs="Times"/>
          <w:sz w:val="24"/>
          <w:sz-cs w:val="24"/>
          <w:b/>
          <w:color w:val="A6A6A6"/>
        </w:rPr>
        <w:t xml:space="preserve"/>
      </w:r>
    </w:p>
    <w:p>
      <w:pPr/>
      <w:r>
        <w:rPr>
          <w:rFonts w:ascii="Times" w:hAnsi="Times" w:cs="Times"/>
          <w:sz w:val="24"/>
          <w:sz-cs w:val="24"/>
        </w:rPr>
        <w:t xml:space="preserve">Kenji Ueno (Okamoto Hospital Administrative Manager)</w:t>
      </w:r>
    </w:p>
    <w:p>
      <w:pPr/>
      <w:r>
        <w:rPr>
          <w:rFonts w:ascii="Times" w:hAnsi="Times" w:cs="Times"/>
          <w:sz w:val="24"/>
          <w:sz-cs w:val="24"/>
        </w:rPr>
        <w:t xml:space="preserve"/>
      </w:r>
    </w:p>
    <w:p>
      <w:pPr/>
      <w:r>
        <w:rPr>
          <w:rFonts w:ascii="Times" w:hAnsi="Times" w:cs="Times"/>
          <w:sz w:val="24"/>
          <w:sz-cs w:val="24"/>
          <w:b/>
        </w:rPr>
        <w:t xml:space="preserve">Kenji: </w:t>
      </w:r>
      <w:r>
        <w:rPr>
          <w:rFonts w:ascii="Times" w:hAnsi="Times" w:cs="Times"/>
          <w:sz w:val="24"/>
          <w:sz-cs w:val="24"/>
        </w:rPr>
        <w:t xml:space="preserve">Traditionally, patients diagnosed with a CNS-related condition required months to years of hospitalization for treatment in Japan. Today, hospitalization periods have been significantly reduced with diversified treatment options. The history behind this dates back to the Meiji Era and serves as the basis of the current “Act on Mental Health and Welfare for the Mentally Disabled”, in which patients were required to be cared for at home in confinement. A directive implemented in the 1960s allowed for psychiatric hospitals to be operated with fewer doctors and nurses, leading to a surge in the number of psychiatric hospitals and prolonged hospitalizations. From the 2000s, the government began to push for the integrated regional care system as a substitute for prolonged hospitalization. Expediting hospital discharge would not have been made possible without the expansion of care facilities and services, along with pharmaceutical advancements. Polypharmacy has also been reduced with new drug development, and the more effective treatments that are available today have been key to building trust between patients and care providers—with patients commonly fearing that they are taking poison when prescribed with medications, effective medications have worked to build patients’ trust in their care providers. </w:t>
      </w:r>
    </w:p>
    <w:p>
      <w:pPr/>
      <w:r>
        <w:rPr>
          <w:rFonts w:ascii="Times" w:hAnsi="Times" w:cs="Times"/>
          <w:sz w:val="24"/>
          <w:sz-cs w:val="24"/>
        </w:rPr>
        <w:t xml:space="preserve"/>
      </w:r>
    </w:p>
    <w:p>
      <w:pPr/>
      <w:r>
        <w:rPr>
          <w:rFonts w:ascii="Times" w:hAnsi="Times" w:cs="Times"/>
          <w:sz w:val="24"/>
          <w:sz-cs w:val="24"/>
        </w:rPr>
        <w:t xml:space="preserve">Shinji Yamamoto (Kyowa Pharmaceutical Industry Sales &amp; Marketing, Head of Marketing Services) </w:t>
      </w:r>
    </w:p>
    <w:p>
      <w:pPr/>
      <w:r>
        <w:rPr>
          <w:rFonts w:ascii="Times" w:hAnsi="Times" w:cs="Times"/>
          <w:sz w:val="24"/>
          <w:sz-cs w:val="24"/>
        </w:rPr>
        <w:t xml:space="preserve"/>
      </w:r>
    </w:p>
    <w:p>
      <w:pPr/>
      <w:r>
        <w:rPr>
          <w:rFonts w:ascii="Times" w:hAnsi="Times" w:cs="Times"/>
          <w:sz w:val="24"/>
          <w:sz-cs w:val="24"/>
          <w:b/>
        </w:rPr>
        <w:t xml:space="preserve">Shinji: </w:t>
      </w:r>
      <w:r>
        <w:rPr>
          <w:rFonts w:ascii="Times" w:hAnsi="Times" w:cs="Times"/>
          <w:sz w:val="24"/>
          <w:sz-cs w:val="24"/>
        </w:rPr>
        <w:t xml:space="preserve">Traditionally, CNS-related drug treatment was largely symptomatic, meaning prescription sleep aids were prescribed for insomnia, and anti-anxiety medication was prescribed for anxiety. While effective in reducing symptoms, this did not address the root cause, often leading to dependency and long-term usage, making social rehabilitation difficult for patients. CNS-related medical treatment has since evolved to enable patients to recover to their original condition by addressing the root cause of their symptoms. Specifically, these medications work to target symptom-causing abnormalities in the nervous system. While not immediately effective in comparison to symptomatic treatments, side effects and dependency, along with constraints that drug treatments can have on daily life, have been reduced drastically. In fact, recent research has suggested that recovery of cognitive functions (i.e. personal financial management, grooming/dressing appropriately, etc.) are more effective towards social rehabilitation than reducing the symptoms themselves, and much of the new drug development taking place is based on this research. Kyowa Pharmaceutical Industry continues to evolve with the mission of supporting patients in the CNS field in their paths towards recovery. </w:t>
        <w:br/>
        <w:t xml:space="preserve"/>
      </w:r>
    </w:p>
    <w:p>
      <w:pPr/>
      <w:r>
        <w:rPr>
          <w:rFonts w:ascii="Times" w:hAnsi="Times" w:cs="Times"/>
          <w:sz w:val="24"/>
          <w:sz-cs w:val="24"/>
        </w:rPr>
        <w:t xml:space="preserve"/>
      </w:r>
    </w:p>
    <w:p>
      <w:pPr/>
      <w:r>
        <w:rPr>
          <w:rFonts w:ascii="Times" w:hAnsi="Times" w:cs="Times"/>
          <w:sz w:val="24"/>
          <w:sz-cs w:val="24"/>
          <w:b/>
          <w:color w:val="A6A6A6"/>
        </w:rPr>
        <w:t xml:space="preserve">The significance and challenges </w:t>
      </w:r>
    </w:p>
    <w:p>
      <w:pPr/>
      <w:r>
        <w:rPr>
          <w:rFonts w:ascii="Times" w:hAnsi="Times" w:cs="Times"/>
          <w:sz w:val="24"/>
          <w:sz-cs w:val="24"/>
          <w:b/>
          <w:color w:val="A6A6A6"/>
        </w:rPr>
        <w:t xml:space="preserve">Transitioning from in-patient treatment to community life</w:t>
      </w:r>
    </w:p>
    <w:p>
      <w:pPr/>
      <w:r>
        <w:rPr>
          <w:rFonts w:ascii="Times" w:hAnsi="Times" w:cs="Times"/>
          <w:sz w:val="24"/>
          <w:sz-cs w:val="24"/>
          <w:b/>
          <w:color w:val="A6A6A6"/>
        </w:rPr>
        <w:t xml:space="preserve">———Evolution of pharmaceutical treatments</w:t>
      </w:r>
    </w:p>
    <w:p>
      <w:pPr/>
      <w:r>
        <w:rPr>
          <w:rFonts w:ascii="Times" w:hAnsi="Times" w:cs="Times"/>
          <w:sz w:val="24"/>
          <w:sz-cs w:val="24"/>
          <w:b/>
        </w:rPr>
        <w:t xml:space="preserve">Building and supporting integrated regional care systems</w:t>
      </w:r>
    </w:p>
    <w:p>
      <w:pPr/>
      <w:r>
        <w:rPr>
          <w:rFonts w:ascii="Times" w:hAnsi="Times" w:cs="Times"/>
          <w:sz w:val="24"/>
          <w:sz-cs w:val="24"/>
        </w:rPr>
        <w:t xml:space="preserve"/>
        <w:br/>
        <w:t xml:space="preserve">Shinsuke Muto (CHCP Group Chairman)</w:t>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Unison’s CHCP Group aims to improve the quality of regional healthcare services by promoting collaborations across the various healthcare service providers it aggregates. In June, CHCP’s investment in Hakuaikai marked its first investment in a dental clinic. This was followed by its investment in Washinzaka Hospital in July 2022, marking CHCP’s first investment in a psychiatric hospital operator with another similar investment expected to follow by year-end. Plans of extending dental care services for patients with CNS-related health conditions as part of a collaboration between the two portfolio companies are already underway. With N.Field already providing nationwide at-home nursing services for patients with mental health conditions and neurological disorders, the possibilities of further collaboration are boundless. </w:t>
        <w:br/>
        <w:t xml:space="preserve"/>
        <w:br/>
        <w:t xml:space="preserve">The success of these collaborations largely relies on being able to recruit top talent and personnel. Despite the implementation of integrated regional care systems, in addition to society’s general lack of preparation for reintegration of patients into their communities after being discharged as pointed out earlier by Tatsunari and Hajime from N.Field, the lack of talent available due to the demands put on medical professionals in this field presents another challenge in helping patients move toward being discharged. As CNS-related health conditions tend to recur, patient rehospitalization often takes place. High medical professional turnover presents an additional obstacle for patients seeking a smooth transition across various healthcare services. </w:t>
        <w:br/>
        <w:t xml:space="preserve"/>
        <w:br/>
        <w:t xml:space="preserve">Hiring and retention of care providers in the CNS field is arguably the most difficult even within the broader healthcare industry. Medical professionals often require specific knowledge and expertise in the field which, combined with the psychological burdens incurred by care providers, pose significant recruitment and retention challenges. As an example, Mr. Ueno, introduced earlier, is extremely cautious about maintaining a good work atmosphere within Okamoto Hospital, and spends much of his time motivating and encouraging the hospital’s medical professionals. Similarly, improving hiring and retention have been a key value-add lever of Unison’s investment in N.Field, with work environment reform efforts made post-investment beginning to take effect. </w:t>
      </w:r>
    </w:p>
    <w:p>
      <w:pPr/>
      <w:r>
        <w:rPr>
          <w:rFonts w:ascii="Times" w:hAnsi="Times" w:cs="Times"/>
          <w:sz w:val="24"/>
          <w:sz-cs w:val="24"/>
        </w:rPr>
        <w:t xml:space="preserve"/>
      </w:r>
    </w:p>
    <w:p>
      <w:pPr/>
      <w:r>
        <w:rPr>
          <w:rFonts w:ascii="Times" w:hAnsi="Times" w:cs="Times"/>
          <w:sz w:val="24"/>
          <w:sz-cs w:val="24"/>
        </w:rPr>
        <w:t xml:space="preserve">Healthcare services are labor-intensive by nature, and cordial human relationships are key to successful treatment. We believe that a successful integrated CNS regional care system requires improving the working environment of medical professionals, which in turn leads to patient recovery and satisfaction. </w:t>
      </w:r>
    </w:p>
    <w:p>
      <w:pPr/>
      <w:r>
        <w:rPr>
          <w:rFonts w:ascii="Times" w:hAnsi="Times" w:cs="Times"/>
          <w:sz w:val="24"/>
          <w:sz-cs w:val="24"/>
        </w:rPr>
        <w:t xml:space="preserve">Thank you for taking the time to read our second annual Sustainability Report. This year we have concentrated on two key topics – the progress we have made with RIMM to date, as well as Unison/CHCP’s efforts to resolve CNS-related healthcare issues through its investments. </w:t>
      </w:r>
    </w:p>
    <w:p>
      <w:pPr/>
      <w:r>
        <w:rPr>
          <w:rFonts w:ascii="Times" w:hAnsi="Times" w:cs="Times"/>
          <w:sz w:val="24"/>
          <w:sz-cs w:val="24"/>
        </w:rPr>
        <w:t xml:space="preserve"/>
      </w:r>
    </w:p>
    <w:p>
      <w:pPr/>
      <w:r>
        <w:rPr>
          <w:rFonts w:ascii="Times" w:hAnsi="Times" w:cs="Times"/>
          <w:sz w:val="24"/>
          <w:sz-cs w:val="24"/>
        </w:rPr>
        <w:t xml:space="preserve">Unison and RIMM have been co-developing RIMM’s scoring report and dashboard since 2020. This year marked a significant step forward, with the RIMM assessment being implemented across Unison’s portfolio. This milestone would not be possible without the tireless efforts of all involved in the cycles of demos and pilot tests, followed by feedback and improvements. We are proud to be able to report to you the progress we have made to date in this report.  </w:t>
        <w:br/>
        <w:t xml:space="preserve"/>
        <w:br/>
        <w:t xml:space="preserve">Editing this report has also been a great opportunity for me to learn about CNS field, which I was previously unfamiliar with. I began my journey by reading books about and studying the topic, only to learn early-on that average hospitalization periods in Japan for mental health conditions and neurological diseases that make up the CNS field are far greater than that of other countries. This challenge, along with many others unique to Japan, are exactly those which Unison and CHCP intend to address in its investments. Speaking to portfolio company management and medical practitioners about this topic, I was fascinated with the earnest passion driving these individuals to do better for the patients they serve. The experience has reminded me of the change and social impact we can promote as private equity investors. </w:t>
      </w:r>
    </w:p>
    <w:p>
      <w:pPr/>
      <w:r>
        <w:rPr>
          <w:rFonts w:ascii="Times" w:hAnsi="Times" w:cs="Times"/>
          <w:sz w:val="24"/>
          <w:sz-cs w:val="24"/>
        </w:rPr>
        <w:t xml:space="preserve"/>
      </w:r>
    </w:p>
    <w:p>
      <w:pPr/>
      <w:r>
        <w:rPr>
          <w:rFonts w:ascii="Times" w:hAnsi="Times" w:cs="Times"/>
          <w:sz w:val="24"/>
          <w:sz-cs w:val="24"/>
        </w:rPr>
        <w:t xml:space="preserve">I sincerely hope you enjoyed this report, and cordially welcome any feedback or comments towards improving our future reports. </w:t>
        <w:br/>
        <w:t xml:space="preserve"/>
      </w:r>
    </w:p>
    <w:p>
      <w:pPr>
        <w:jc w:val="right"/>
      </w:pPr>
      <w:r>
        <w:rPr>
          <w:rFonts w:ascii="Times" w:hAnsi="Times" w:cs="Times"/>
          <w:sz w:val="24"/>
          <w:sz-cs w:val="24"/>
        </w:rPr>
        <w:t xml:space="preserve">Eri Kawana</w:t>
        <w:br/>
        <w:t xml:space="preserve">Editor</w:t>
      </w:r>
    </w:p>
    <w:p>
      <w:pPr>
        <w:jc w:val="right"/>
      </w:pPr>
      <w:r>
        <w:rPr>
          <w:rFonts w:ascii="Times" w:hAnsi="Times" w:cs="Times"/>
          <w:sz w:val="24"/>
          <w:sz-cs w:val="24"/>
        </w:rPr>
        <w:t xml:space="preserve"/>
      </w:r>
    </w:p>
    <w:p>
      <w:pPr/>
      <w:r>
        <w:rPr>
          <w:rFonts w:ascii="Times" w:hAnsi="Times" w:cs="Times"/>
          <w:sz w:val="24"/>
          <w:sz-cs w:val="24"/>
        </w:rPr>
        <w:t xml:space="preserve">Direction</w:t>
        <w:tab/>
        <w:t xml:space="preserve">Junko Katayanagi</w:t>
      </w:r>
      <w:r>
        <w:rPr>
          <w:rFonts w:ascii="Hiragino Mincho ProN" w:hAnsi="Hiragino Mincho ProN" w:cs="Hiragino Mincho ProN"/>
          <w:sz w:val="24"/>
          <w:sz-cs w:val="24"/>
        </w:rPr>
        <w:t xml:space="preserve">　</w:t>
      </w:r>
      <w:r>
        <w:rPr>
          <w:rFonts w:ascii="Times" w:hAnsi="Times" w:cs="Times"/>
          <w:sz w:val="24"/>
          <w:sz-cs w:val="24"/>
        </w:rPr>
        <w:t xml:space="preserve">Eri Kawana</w:t>
      </w:r>
    </w:p>
    <w:p>
      <w:pPr/>
      <w:r>
        <w:rPr>
          <w:rFonts w:ascii="Times" w:hAnsi="Times" w:cs="Times"/>
          <w:sz w:val="24"/>
          <w:sz-cs w:val="24"/>
        </w:rPr>
        <w:t xml:space="preserve">Contents</w:t>
        <w:tab/>
        <w:t xml:space="preserve">Tsutomu Kunisawa</w:t>
      </w:r>
      <w:r>
        <w:rPr>
          <w:rFonts w:ascii="Hiragino Mincho ProN" w:hAnsi="Hiragino Mincho ProN" w:cs="Hiragino Mincho ProN"/>
          <w:sz w:val="24"/>
          <w:sz-cs w:val="24"/>
        </w:rPr>
        <w:t xml:space="preserve">　</w:t>
      </w:r>
      <w:r>
        <w:rPr>
          <w:rFonts w:ascii="Times" w:hAnsi="Times" w:cs="Times"/>
          <w:sz w:val="24"/>
          <w:sz-cs w:val="24"/>
        </w:rPr>
        <w:t xml:space="preserve">Tatsuya Hayashi</w:t>
      </w:r>
      <w:r>
        <w:rPr>
          <w:rFonts w:ascii="Hiragino Mincho ProN" w:hAnsi="Hiragino Mincho ProN" w:cs="Hiragino Mincho ProN"/>
          <w:sz w:val="24"/>
          <w:sz-cs w:val="24"/>
        </w:rPr>
        <w:t xml:space="preserve">　</w:t>
      </w:r>
      <w:r>
        <w:rPr>
          <w:rFonts w:ascii="Times" w:hAnsi="Times" w:cs="Times"/>
          <w:sz w:val="24"/>
          <w:sz-cs w:val="24"/>
        </w:rPr>
        <w:t xml:space="preserve">Daimon Punjabi</w:t>
      </w:r>
      <w:r>
        <w:rPr>
          <w:rFonts w:ascii="Hiragino Mincho ProN" w:hAnsi="Hiragino Mincho ProN" w:cs="Hiragino Mincho ProN"/>
          <w:sz w:val="24"/>
          <w:sz-cs w:val="24"/>
        </w:rPr>
        <w:t xml:space="preserve">　</w:t>
      </w:r>
      <w:r>
        <w:rPr>
          <w:rFonts w:ascii="Times" w:hAnsi="Times" w:cs="Times"/>
          <w:sz w:val="24"/>
          <w:sz-cs w:val="24"/>
        </w:rPr>
        <w:t xml:space="preserve">Sarah Berlow</w:t>
      </w:r>
      <w:r>
        <w:rPr>
          <w:rFonts w:ascii="Hiragino Mincho ProN" w:hAnsi="Hiragino Mincho ProN" w:cs="Hiragino Mincho ProN"/>
          <w:sz w:val="24"/>
          <w:sz-cs w:val="24"/>
        </w:rPr>
        <w:t xml:space="preserve">　</w:t>
      </w:r>
      <w:r>
        <w:rPr>
          <w:rFonts w:ascii="Times" w:hAnsi="Times" w:cs="Times"/>
          <w:sz w:val="24"/>
          <w:sz-cs w:val="24"/>
        </w:rPr>
        <w:t xml:space="preserve">Osamu Yamamoto</w:t>
      </w:r>
    </w:p>
    <w:p>
      <w:pPr/>
      <w:r>
        <w:rPr>
          <w:rFonts w:ascii="Times" w:hAnsi="Times" w:cs="Times"/>
          <w:sz w:val="24"/>
          <w:sz-cs w:val="24"/>
        </w:rPr>
        <w:t xml:space="preserve">Creative</w:t>
        <w:tab/>
        <w:t xml:space="preserve"/>
        <w:tab/>
        <w:t xml:space="preserve">kome inc.</w:t>
      </w:r>
      <w:r>
        <w:rPr>
          <w:rFonts w:ascii="Hiragino Mincho ProN" w:hAnsi="Hiragino Mincho ProN" w:cs="Hiragino Mincho ProN"/>
          <w:sz w:val="24"/>
          <w:sz-cs w:val="24"/>
        </w:rPr>
        <w:t xml:space="preserve">　</w:t>
      </w:r>
      <w:r>
        <w:rPr>
          <w:rFonts w:ascii="Times" w:hAnsi="Times" w:cs="Times"/>
          <w:sz w:val="24"/>
          <w:sz-cs w:val="24"/>
        </w:rPr>
        <w:t xml:space="preserve">AID-DCC Inc.</w:t>
      </w:r>
      <w:r>
        <w:rPr>
          <w:rFonts w:ascii="Hiragino Mincho ProN" w:hAnsi="Hiragino Mincho ProN" w:cs="Hiragino Mincho ProN"/>
          <w:sz w:val="24"/>
          <w:sz-cs w:val="24"/>
        </w:rPr>
        <w:t xml:space="preserve">　</w:t>
      </w:r>
      <w:r>
        <w:rPr>
          <w:rFonts w:ascii="Times" w:hAnsi="Times" w:cs="Times"/>
          <w:sz w:val="24"/>
          <w:sz-cs w:val="24"/>
        </w:rPr>
        <w:t xml:space="preserve">Kaneshita Masanori</w:t>
      </w:r>
      <w:r>
        <w:rPr>
          <w:rFonts w:ascii="Hiragino Mincho ProN" w:hAnsi="Hiragino Mincho ProN" w:cs="Hiragino Mincho ProN"/>
          <w:sz w:val="24"/>
          <w:sz-cs w:val="24"/>
        </w:rPr>
        <w:t xml:space="preserve">　</w:t>
      </w:r>
      <w:r>
        <w:rPr>
          <w:rFonts w:ascii="Times" w:hAnsi="Times" w:cs="Times"/>
          <w:sz w:val="24"/>
          <w:sz-cs w:val="24"/>
        </w:rPr>
        <w:t xml:space="preserve">Iwai Mitsuaki</w:t>
      </w:r>
    </w:p>
    <w:p>
      <w:pPr/>
      <w:r>
        <w:rPr>
          <w:rFonts w:ascii="Times" w:hAnsi="Times" w:cs="Times"/>
          <w:sz w:val="24"/>
          <w:sz-cs w:val="24"/>
        </w:rPr>
        <w:t xml:space="preserve"/>
      </w:r>
    </w:p>
    <w:sectPr>
      <w:pgSz w:w="11900" w:h="16840"/>
      <w:pgMar w:top="1985" w:right="1701" w:bottom="1701" w:left="1701"/>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