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4"/>
          <w:sz-cs w:val="24"/>
        </w:rPr>
        <w:t xml:space="preserve"/>
      </w:r>
    </w:p>
    <w:p>
      <w:pPr/>
      <w:r>
        <w:rPr>
          <w:rFonts w:ascii="Arial" w:hAnsi="Arial" w:cs="Arial"/>
          <w:sz w:val="24"/>
          <w:sz-cs w:val="24"/>
        </w:rPr>
        <w:t xml:space="preserve">To our valued investors</w:t>
      </w:r>
    </w:p>
    <w:p>
      <w:pPr/>
      <w:r>
        <w:rPr>
          <w:rFonts w:ascii="Arial" w:hAnsi="Arial" w:cs="Arial"/>
          <w:sz w:val="24"/>
          <w:sz-cs w:val="24"/>
        </w:rPr>
        <w:t xml:space="preserve"/>
      </w:r>
    </w:p>
    <w:p>
      <w:pPr/>
      <w:r>
        <w:rPr>
          <w:rFonts w:ascii="Arial" w:hAnsi="Arial" w:cs="Arial"/>
          <w:sz w:val="24"/>
          <w:sz-cs w:val="24"/>
        </w:rPr>
        <w:t xml:space="preserve">We are pleased to hereby present this year’s sustainability report.</w:t>
      </w:r>
    </w:p>
    <w:p>
      <w:pPr/>
      <w:r>
        <w:rPr>
          <w:rFonts w:ascii="Arial" w:hAnsi="Arial" w:cs="Arial"/>
          <w:sz w:val="24"/>
          <w:sz-cs w:val="24"/>
        </w:rPr>
        <w:t xml:space="preserve"/>
      </w:r>
    </w:p>
    <w:p>
      <w:pPr/>
      <w:r>
        <w:rPr>
          <w:rFonts w:ascii="Arial" w:hAnsi="Arial" w:cs="Arial"/>
          <w:sz w:val="24"/>
          <w:sz-cs w:val="24"/>
        </w:rPr>
        <w:t xml:space="preserve">This year marks Unison’s 25th anniversary, which was founded in 1998. While Unison has continued to expand geographically with buyout funds in Korea and impact investments in India, Japan remains our core region with top priority placed on supporting value creation in a market with limited growth, a declining working population, and one of the world’s most aged societies. In this year’s report, we introduce examples of portfolio companies that are creating a direct impact in revitalizing local communities and supporting dual-income households. We are also pleased to report on our ESG data quantification efforts, which have finally reached a stage where the collected data can be analyzed.</w:t>
      </w:r>
    </w:p>
    <w:p>
      <w:pPr/>
      <w:r>
        <w:rPr>
          <w:rFonts w:ascii="Arial" w:hAnsi="Arial" w:cs="Arial"/>
          <w:sz w:val="24"/>
          <w:sz-cs w:val="24"/>
        </w:rPr>
        <w:t xml:space="preserve"/>
      </w:r>
    </w:p>
    <w:p>
      <w:pPr/>
      <w:r>
        <w:rPr>
          <w:rFonts w:ascii="Arial" w:hAnsi="Arial" w:cs="Arial"/>
          <w:sz w:val="24"/>
          <w:sz-cs w:val="24"/>
        </w:rPr>
        <w:t xml:space="preserve">Because of Japan’s changing demographics and maturing market, companies are increasingly expected to “innovate” and “increase organizational engagement” by improving operational efficiency and labor conditions. In conjunction with our digitalization and business infrastructure initiatives, this year we moved forward with improving labor conditions and diversity, equity, and inclusion (DEI) initiatives across our portfolio companies, with the aim to ensure each company can autonomously continue these efforts well after Unison's investment period ends. Promoting ESG is an integral part of our value creation efforts as a buyout investor, and we are also seeing firsthand the positive impact communicating portfolio companies’ environmental impact awareness has from hiring and marketing standpoints, which in turn leads to value creation and improved returns.</w:t>
      </w:r>
    </w:p>
    <w:p>
      <w:pPr/>
      <w:r>
        <w:rPr>
          <w:rFonts w:ascii="Arial" w:hAnsi="Arial" w:cs="Arial"/>
          <w:sz w:val="24"/>
          <w:sz-cs w:val="24"/>
        </w:rPr>
        <w:t xml:space="preserve"/>
      </w:r>
    </w:p>
    <w:p>
      <w:pPr/>
      <w:r>
        <w:rPr>
          <w:rFonts w:ascii="Arial" w:hAnsi="Arial" w:cs="Arial"/>
          <w:sz w:val="24"/>
          <w:sz-cs w:val="24"/>
        </w:rPr>
        <w:t xml:space="preserve">Looking back on the past year, the Japan Private Equity Association (“JPEA”) established its ESG Committee, which has promoted knowledge sharing and study sessions among GPs in Japan. For the first time, JPEA was able to collect ESG data and visually demonstrate that nearly 250,000 portfolio company jobs have been created in Japan and that portfolio companies’ DEI indicators are improving. I also became a member of PRI’s Japan Advisory Committee, which has given us more opportunities to exchange ideas with asset managers in the industry. PRI in Person will be held in Tokyo for the first time in October, with Unison slated to present at the event. We hope to continue to increase opportunities to communicate Japanese GPs’ efforts both in Japan and abroad.</w:t>
      </w:r>
    </w:p>
    <w:p>
      <w:pPr/>
      <w:r>
        <w:rPr>
          <w:rFonts w:ascii="Arial" w:hAnsi="Arial" w:cs="Arial"/>
          <w:sz w:val="24"/>
          <w:sz-cs w:val="24"/>
        </w:rPr>
        <w:t xml:space="preserve"/>
      </w:r>
    </w:p>
    <w:p>
      <w:pPr/>
      <w:r>
        <w:rPr>
          <w:rFonts w:ascii="Arial" w:hAnsi="Arial" w:cs="Arial"/>
          <w:sz w:val="24"/>
          <w:sz-cs w:val="24"/>
        </w:rPr>
        <w:t xml:space="preserve">As always, we warmly welcome any comments, suggestions, or feedback from our readers.</w:t>
      </w:r>
    </w:p>
    <w:p>
      <w:pPr/>
      <w:r>
        <w:rPr>
          <w:rFonts w:ascii="Arial" w:hAnsi="Arial" w:cs="Arial"/>
          <w:sz w:val="24"/>
          <w:sz-cs w:val="24"/>
        </w:rPr>
        <w:t xml:space="preserve"/>
      </w:r>
    </w:p>
    <w:p>
      <w:pPr>
        <w:ind w:left="6090"/>
      </w:pPr>
      <w:r>
        <w:rPr>
          <w:rFonts w:ascii="Arial" w:hAnsi="Arial" w:cs="Arial"/>
          <w:sz w:val="24"/>
          <w:sz-cs w:val="24"/>
        </w:rPr>
        <w:t xml:space="preserve">Junko Katayanagi</w:t>
      </w:r>
    </w:p>
    <w:p>
      <w:pPr>
        <w:ind w:left="6090"/>
      </w:pPr>
      <w:r>
        <w:rPr>
          <w:rFonts w:ascii="Arial" w:hAnsi="Arial" w:cs="Arial"/>
          <w:sz w:val="24"/>
          <w:sz-cs w:val="24"/>
        </w:rPr>
        <w:t xml:space="preserve">Partner</w:t>
      </w:r>
    </w:p>
    <w:p>
      <w:pPr>
        <w:ind w:left="6090"/>
      </w:pPr>
      <w:r>
        <w:rPr>
          <w:rFonts w:ascii="Arial" w:hAnsi="Arial" w:cs="Arial"/>
          <w:sz w:val="24"/>
          <w:sz-cs w:val="24"/>
        </w:rPr>
        <w:t xml:space="preserve"/>
        <w:br w:type="page"/>
        <w:t xml:space="preserve"/>
      </w:r>
    </w:p>
    <w:p>
      <w:pPr/>
      <w:r>
        <w:rPr>
          <w:rFonts w:ascii="Arial" w:hAnsi="Arial" w:cs="Arial"/>
          <w:sz w:val="24"/>
          <w:sz-cs w:val="24"/>
          <w:b/>
        </w:rPr>
        <w:t xml:space="preserve">(Picture/Header)</w:t>
      </w:r>
    </w:p>
    <w:p>
      <w:pPr/>
      <w:r>
        <w:rPr>
          <w:rFonts w:ascii="Arial" w:hAnsi="Arial" w:cs="Arial"/>
          <w:sz w:val="24"/>
          <w:sz-cs w:val="24"/>
        </w:rPr>
        <w:t xml:space="preserve">In recent years, the impact Japan's aging society and declining population have on daily life in the country has become increasingly acute. Unison looks to address these social issues through our buyout investments and empower our portfolio companies to make their own unique impact through their businesses.</w:t>
      </w:r>
    </w:p>
    <w:p>
      <w:pPr/>
      <w:r>
        <w:rPr>
          <w:rFonts w:ascii="Arial" w:hAnsi="Arial" w:cs="Arial"/>
          <w:sz w:val="24"/>
          <w:sz-cs w:val="24"/>
        </w:rPr>
        <w:t xml:space="preserve">The following sections will introduce two portfolio case studies: Yuko Yuko’s community revitalization activities and Kids Corporation’s support of dual-income households.</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b/>
        </w:rPr>
        <w:t xml:space="preserve">Demographic Changes in Japan and Unison’s Investment Themes</w:t>
      </w:r>
    </w:p>
    <w:p>
      <w:pPr/>
      <w:r>
        <w:rPr>
          <w:rFonts w:ascii="Arial" w:hAnsi="Arial" w:cs="Arial"/>
          <w:sz w:val="24"/>
          <w:sz-cs w:val="24"/>
        </w:rPr>
        <w:t xml:space="preserve">Japan’s population peaked at 128 million in 2008 and has been in decline since. According to government estimates, the population is expected to fall below 100 million in 2048 and decline to 87 million by 2060. From a longer-term perspective, Japan’s population, which had been increasing over the past century since around 1900, will return to the same level within the next 100 years—an unprecedented population decline in the history of the country.</w:t>
      </w:r>
    </w:p>
    <w:p>
      <w:pPr/>
      <w:r>
        <w:rPr>
          <w:rFonts w:ascii="Arial" w:hAnsi="Arial" w:cs="Arial"/>
          <w:sz w:val="24"/>
          <w:sz-cs w:val="24"/>
        </w:rPr>
        <w:t xml:space="preserve"/>
      </w:r>
    </w:p>
    <w:p>
      <w:pPr/>
      <w:r>
        <w:rPr>
          <w:rFonts w:ascii="Arial" w:hAnsi="Arial" w:cs="Arial"/>
          <w:sz w:val="24"/>
          <w:sz-cs w:val="24"/>
        </w:rPr>
        <w:t xml:space="preserve">Source: From the Ministry of Land, Infrastructure and Transport (MLIT). 2010 and before uses Ministry of Internal Affairs and Communications population census results, MLIT analysis (1974), 2015 onward uses National Institute of Population and Social Security Research estimates</w:t>
      </w:r>
    </w:p>
    <w:p>
      <w:pPr/>
      <w:r>
        <w:rPr>
          <w:rFonts w:ascii="Arial" w:hAnsi="Arial" w:cs="Arial"/>
          <w:sz w:val="24"/>
          <w:sz-cs w:val="24"/>
        </w:rPr>
        <w:t xml:space="preserve">Japan, which has one of the most aged populations of any developed country, faces two challenges: a significant decline in the working-age population and a depopulation of rural areas. The outflow of population from rural areas is already underway, and in some areas it is becoming increasingly difficult to maintain basic infrastructure for daily life, including medical care.</w:t>
      </w:r>
    </w:p>
    <w:p>
      <w:pPr/>
      <w:r>
        <w:rPr>
          <w:rFonts w:ascii="Arial" w:hAnsi="Arial" w:cs="Arial"/>
          <w:sz w:val="24"/>
          <w:sz-cs w:val="24"/>
        </w:rPr>
        <w:t xml:space="preserve"/>
      </w:r>
    </w:p>
    <w:p>
      <w:pPr/>
      <w:r>
        <w:rPr>
          <w:rFonts w:ascii="Hiragino Sans" w:hAnsi="Hiragino Sans" w:cs="Hiragino Sans"/>
          <w:sz w:val="24"/>
          <w:sz-cs w:val="24"/>
        </w:rPr>
        <w:t xml:space="preserve">生産年齢人口のピーク＝</w:t>
      </w:r>
      <w:r>
        <w:rPr>
          <w:rFonts w:ascii="Arial" w:hAnsi="Arial" w:cs="Arial"/>
          <w:sz w:val="24"/>
          <w:sz-cs w:val="24"/>
        </w:rPr>
        <w:t xml:space="preserve">Population aged 15-64 peak</w:t>
      </w:r>
    </w:p>
    <w:p>
      <w:pPr/>
      <w:r>
        <w:rPr>
          <w:rFonts w:ascii="Arial" w:hAnsi="Arial" w:cs="Arial"/>
          <w:sz w:val="24"/>
          <w:sz-cs w:val="24"/>
        </w:rPr>
        <w:t xml:space="preserve">Note) 1 </w:t>
      </w:r>
      <w:r>
        <w:rPr>
          <w:rFonts w:ascii="Hiragino Sans" w:hAnsi="Hiragino Sans" w:cs="Hiragino Sans"/>
          <w:sz w:val="24"/>
          <w:sz-cs w:val="24"/>
        </w:rPr>
        <w:t xml:space="preserve">はいらない</w:t>
      </w:r>
      <w:r>
        <w:rPr>
          <w:rFonts w:ascii="Arial" w:hAnsi="Arial" w:cs="Arial"/>
          <w:sz w:val="24"/>
          <w:sz-cs w:val="24"/>
        </w:rPr>
        <w:t xml:space="preserve"/>
      </w:r>
    </w:p>
    <w:p>
      <w:pPr/>
      <w:r>
        <w:rPr>
          <w:rFonts w:ascii="Arial" w:hAnsi="Arial" w:cs="Arial"/>
          <w:sz w:val="24"/>
          <w:sz-cs w:val="24"/>
        </w:rPr>
        <w:t xml:space="preserve"> </w:t>
        <w:tab/>
        <w:t xml:space="preserve">2 () refers to percentage of population aged 15-64 out of total population</w:t>
      </w:r>
    </w:p>
    <w:p>
      <w:pPr/>
      <w:r>
        <w:rPr>
          <w:rFonts w:ascii="Arial" w:hAnsi="Arial" w:cs="Arial"/>
          <w:sz w:val="24"/>
          <w:sz-cs w:val="24"/>
        </w:rPr>
        <w:t xml:space="preserve">Source: From the Ministry of Land, Infrastructure and Transport (MLIT), using Ministry of Internal Affairs and Communications population census results, National Institute of Population and Social Security Research future Japan population estimates</w:t>
      </w:r>
    </w:p>
    <w:p>
      <w:pPr/>
      <w:r>
        <w:rPr>
          <w:rFonts w:ascii="Arial" w:hAnsi="Arial" w:cs="Arial"/>
          <w:sz w:val="24"/>
          <w:sz-cs w:val="24"/>
        </w:rPr>
        <w:t xml:space="preserve"/>
      </w:r>
    </w:p>
    <w:p>
      <w:pPr/>
      <w:r>
        <w:rPr>
          <w:rFonts w:ascii="Arial" w:hAnsi="Arial" w:cs="Arial"/>
          <w:sz w:val="24"/>
          <w:sz-cs w:val="24"/>
        </w:rPr>
        <w:t xml:space="preserve">For Unison, one of our long-term investment theses as investors in Japan is to optimize operations in preparation for these demographic shifts and a declining workforce, and to efficiently provide medical and lifestyle-related services to support depopulating rural areas.</w:t>
      </w:r>
    </w:p>
    <w:p>
      <w:pPr/>
      <w:r>
        <w:rPr>
          <w:rFonts w:ascii="Arial" w:hAnsi="Arial" w:cs="Arial"/>
          <w:sz w:val="24"/>
          <w:sz-cs w:val="24"/>
        </w:rPr>
        <w:t xml:space="preserve"/>
        <w:br w:type="page"/>
        <w:t xml:space="preserve"/>
      </w:r>
    </w:p>
    <w:p>
      <w:pPr/>
      <w:r>
        <w:rPr>
          <w:rFonts w:ascii="Arial" w:hAnsi="Arial" w:cs="Arial"/>
          <w:sz w:val="24"/>
          <w:sz-cs w:val="24"/>
          <w:b/>
        </w:rPr>
        <w:t xml:space="preserve">Community revitalization with Yuko Yuko Holdings</w:t>
      </w:r>
    </w:p>
    <w:p>
      <w:pPr/>
      <w:r>
        <w:rPr>
          <w:rFonts w:ascii="Arial" w:hAnsi="Arial" w:cs="Arial"/>
          <w:sz w:val="24"/>
          <w:sz-cs w:val="24"/>
        </w:rPr>
        <w:t xml:space="preserve">With more than 8.5 million members of primarily senior citizens, Unison portfolio company Yuko Yuko Holdings (“Yuko Yuko”) is developing a business model that anticipates the changing demographics of Japan. Yuko Yuko was founded in 2000 as an advertising agency that handles newspaper advertisements for hot spring inns struggling to attract customers on weekdays. It became independent from Recruit in 2016 after increasing its membership by publishing </w:t>
      </w:r>
      <w:r>
        <w:rPr>
          <w:rFonts w:ascii="Arial" w:hAnsi="Arial" w:cs="Arial"/>
          <w:sz w:val="24"/>
          <w:sz-cs w:val="24"/>
          <w:i/>
        </w:rPr>
        <w:t xml:space="preserve">Yuko Yuko</w:t>
      </w:r>
      <w:r>
        <w:rPr>
          <w:rFonts w:ascii="Arial" w:hAnsi="Arial" w:cs="Arial"/>
          <w:sz w:val="24"/>
          <w:sz-cs w:val="24"/>
        </w:rPr>
        <w:t xml:space="preserve">, a free lodging information magazine with special deals on weekday accommodation plans. Since Unison’s investment, Yuko Yuko has enhanced its website and now provides both online and call center accommodation reservation services to customers.</w:t>
      </w:r>
    </w:p>
    <w:p>
      <w:pPr/>
      <w:r>
        <w:rPr>
          <w:rFonts w:ascii="Arial" w:hAnsi="Arial" w:cs="Arial"/>
          <w:sz w:val="24"/>
          <w:sz-cs w:val="24"/>
        </w:rPr>
        <w:t xml:space="preserve"/>
      </w:r>
    </w:p>
    <w:p>
      <w:pPr/>
      <w:r>
        <w:rPr>
          <w:rFonts w:ascii="Arial" w:hAnsi="Arial" w:cs="Arial"/>
          <w:sz w:val="24"/>
          <w:sz-cs w:val="24"/>
        </w:rPr>
        <w:t xml:space="preserve">In line with its corporate purpose of engaging people and regions to support and revitalize local communities, Yuko Yuko has launched the “Yuko Locomotion Project” with the aim of promoting lively, local community engagement. Unison spoke on this with Yuko Yuko CEO Wakako Tokuda, who is working to promote regional community revitalization and bring attention to these communities by developing and expanding relationships with individual inns and hot spring resorts as well as local governments.</w:t>
      </w:r>
    </w:p>
    <w:p>
      <w:pPr/>
      <w:r>
        <w:rPr>
          <w:rFonts w:ascii="Arial" w:hAnsi="Arial" w:cs="Arial"/>
          <w:sz w:val="24"/>
          <w:sz-cs w:val="24"/>
        </w:rPr>
        <w:t xml:space="preserve"/>
      </w:r>
    </w:p>
    <w:p>
      <w:pPr/>
      <w:r>
        <w:rPr>
          <w:rFonts w:ascii="Arial" w:hAnsi="Arial" w:cs="Arial"/>
          <w:sz w:val="24"/>
          <w:sz-cs w:val="24"/>
          <w:u w:val="single"/>
        </w:rPr>
        <w:t xml:space="preserve">Changing Travel Trends and Yuko Yuko’s Strengths</w:t>
      </w:r>
    </w:p>
    <w:p>
      <w:pPr/>
      <w:r>
        <w:rPr>
          <w:rFonts w:ascii="Arial" w:hAnsi="Arial" w:cs="Arial"/>
          <w:sz w:val="24"/>
          <w:sz-cs w:val="24"/>
        </w:rPr>
        <w:t xml:space="preserve">Tokuda, who regularly visits hot spring resorts throughout Japan, says, “It is important to correctly recognize that Japan’s past economic growth, which was based on population growth, will not continue in the future.” To face the reality of a declining population while protecting Japan’s overall prosperous daily life, the first step being taken is to showcase a region's attractions and then create a cycle in which visitors to these attractions spend in the region. Dividing travel demand into four quadrants (domestic and international, individual and group), Yuko Yuko has an overwhelming advantage in weekday individual domestic travel, especially among senior citizens in Japan. Unlike group travelers whose travel schedules are usually limited, individual travelers can stay longer at hot spring resort regions. Even before the outbreak of COVID, group travel—including corporate trips—was in decline, and the inability to fill empty weekday rooms has long been a management issue for hot spring inns. Yuko Yuko's ability to send customers to such inns, which are in desperate need of individual travelers, has been highly valued in the market.</w:t>
      </w:r>
    </w:p>
    <w:p>
      <w:pPr/>
      <w:r>
        <w:rPr>
          <w:rFonts w:ascii="Arial" w:hAnsi="Arial" w:cs="Arial"/>
          <w:sz w:val="24"/>
          <w:sz-cs w:val="24"/>
        </w:rPr>
        <w:t xml:space="preserve"/>
      </w:r>
    </w:p>
    <w:p>
      <w:pPr/>
      <w:r>
        <w:rPr>
          <w:rFonts w:ascii="Arial" w:hAnsi="Arial" w:cs="Arial"/>
          <w:sz w:val="24"/>
          <w:sz-cs w:val="24"/>
          <w:u w:val="single"/>
        </w:rPr>
        <w:t xml:space="preserve">Digital x Analog Customer Service</w:t>
      </w:r>
    </w:p>
    <w:p>
      <w:pPr/>
      <w:r>
        <w:rPr>
          <w:rFonts w:ascii="Arial" w:hAnsi="Arial" w:cs="Arial"/>
          <w:sz w:val="24"/>
          <w:sz-cs w:val="24"/>
        </w:rPr>
        <w:t xml:space="preserve">Tourism is one of the industries most affected by COVID, and the Japanese government has been implementing measures to stimulate tourism demand while monitoring infection levels. However, the specifications for such measures, such as the 2020 Go To Travel Campaign, were often not finalized until just before their release, while the 2022 Prefectural Citizens’ Discount, Block Discount, and National Travel Support programs were handled differently by each local government as budgets were allocated to each prefecture, and travel agents were faced with repeated changes in specifications. To work through acquired discounted budgets from local governments, Yuko Yuko released discount plans ahead of its competitors, and the call center worked closely with confused customers to support their needs. To enhance organizational responsiveness to these challenges, Yuko Yuko also expanded its website development team and leveraged digital technologies and tools while using the analog interface of the contact center to smoothly respond to customers, lodges, and municipalities.</w:t>
      </w:r>
    </w:p>
    <w:p>
      <w:pPr/>
      <w:r>
        <w:rPr>
          <w:rFonts w:ascii="Arial" w:hAnsi="Arial" w:cs="Arial"/>
          <w:sz w:val="24"/>
          <w:sz-cs w:val="24"/>
        </w:rPr>
        <w:t xml:space="preserve"/>
      </w:r>
    </w:p>
    <w:p>
      <w:pPr/>
      <w:r>
        <w:rPr>
          <w:rFonts w:ascii="Arial" w:hAnsi="Arial" w:cs="Arial"/>
          <w:sz w:val="24"/>
          <w:sz-cs w:val="24"/>
        </w:rPr>
        <w:t xml:space="preserve">“Yuko Yuko’s call center’s ability to handle 46 different ways of booking reservations was rated highly by both inns and customers. When using the discount plan, the documents required at check-in differ across prefectures. For example, some municipalities require an ID card and a vaccination certificate, while others require only a vaccination certificate. For the ID card, if the customer had returned his or her driver’s license and did not have a passport, we carefully explained whether a pension book would be acceptable or not. Such attentive personal services were highly appreciated,” Tokuda describes. “In addition, the speed of our response was outstanding compared to the major OTAs. Local government communication was often sudden and confusing, with budget mandates for Yuko Yuko being shared a day before they were expected to begin being implemented. Normally it would take 3-4 days to get the budget down to operations, but the fact that we had a system in place that could respond on the same day was communicated to the inns, and for that we were highly rated.”</w:t>
      </w:r>
    </w:p>
    <w:p>
      <w:pPr/>
      <w:r>
        <w:rPr>
          <w:rFonts w:ascii="Arial" w:hAnsi="Arial" w:cs="Arial"/>
          <w:sz w:val="24"/>
          <w:sz-cs w:val="24"/>
        </w:rPr>
        <w:t xml:space="preserve"/>
      </w:r>
    </w:p>
    <w:p>
      <w:pPr/>
      <w:r>
        <w:rPr>
          <w:rFonts w:ascii="Arial" w:hAnsi="Arial" w:cs="Arial"/>
          <w:sz w:val="24"/>
          <w:sz-cs w:val="24"/>
        </w:rPr>
        <w:t xml:space="preserve">During the period Yuko Yuko was forced to refrain from business due to COVID, the company continued to invest in digital innovation and refined its services with an emphasis on collaborative use with analog tools, which has led to the company’s current competitive advantage.</w:t>
      </w:r>
    </w:p>
    <w:p>
      <w:pPr/>
      <w:r>
        <w:rPr>
          <w:rFonts w:ascii="Arial" w:hAnsi="Arial" w:cs="Arial"/>
          <w:sz w:val="24"/>
          <w:sz-cs w:val="24"/>
        </w:rPr>
        <w:t xml:space="preserve"/>
      </w:r>
    </w:p>
    <w:p>
      <w:pPr/>
      <w:r>
        <w:rPr>
          <w:rFonts w:ascii="Arial" w:hAnsi="Arial" w:cs="Arial"/>
          <w:sz w:val="24"/>
          <w:sz-cs w:val="24"/>
          <w:u w:val="single"/>
        </w:rPr>
        <w:t xml:space="preserve">Data-Driven Community Proposals</w:t>
      </w:r>
    </w:p>
    <w:p>
      <w:pPr/>
      <w:r>
        <w:rPr>
          <w:rFonts w:ascii="Arial" w:hAnsi="Arial" w:cs="Arial"/>
          <w:sz w:val="24"/>
          <w:sz-cs w:val="24"/>
        </w:rPr>
        <w:t xml:space="preserve">In November 2021, with COVID more under control and measures in place to prevent its spread, Tokuda resumed her regional business trips. “When I spoke with the head of the Gero Onsen Tourism Association, it became clear to me that we had a truly outstanding regional leader, and we were able to further our discussions with the association thanks to Yuko Yuko’s data and data analyses. It was about a year and a half after Yuko Yuko had created the data science group, and we were ready to provide all kinds of analysis. We presented data such as which areas customers were visiting from, what days of the week they frequented Gero Onsen, and the potential for further growth. Gero Onsen itself is a rare hot spring region that has been collecting customer data since the mid-1970s, and each hot spring inn knew what means of transportation customers had used to visit. When we compared the accumulated data with ours, we saw the potential upside for further growth, and this led to the initial request to refer guests to Gero Onsen on weekdays and during off-peak periods. We analyzed the guest data, and created a tailored plan based on the analysis.”</w:t>
      </w:r>
    </w:p>
    <w:p>
      <w:pPr/>
      <w:r>
        <w:rPr>
          <w:rFonts w:ascii="Arial" w:hAnsi="Arial" w:cs="Arial"/>
          <w:sz w:val="24"/>
          <w:sz-cs w:val="24"/>
        </w:rPr>
        <w:t xml:space="preserve"/>
      </w:r>
    </w:p>
    <w:p>
      <w:pPr/>
      <w:r>
        <w:rPr>
          <w:rFonts w:ascii="Arial" w:hAnsi="Arial" w:cs="Arial"/>
          <w:sz w:val="24"/>
          <w:sz-cs w:val="24"/>
        </w:rPr>
        <w:t xml:space="preserve">Yuko Yuko began referring tourists to Gero Onsen in April 2022. By June 2022, the number of tourists had recovered to 2019 pre-COVID levels, and Gero Onsen received the Tourism Agency Commissioner Award. The head of the Gero Onsen Tourism Association attributes this award to the collaboration with Yuko Yuko. With the Gero Onsen case study as evidence of the value of Yuko Yuko’s customer data and data science group’s analyses, Yuko Yuko has begun expanding these services to other regions, with 5 regions covered in 2022 and more expected in 2023. Since local governments’ tourism budgets are usually used to fund sales promotions to attract visitors, Yuko Yuko’s initiatives—which combine its own hot spring media and lodging information magazines (recognition-related initiatives) with discount coupons (purchase-related initiatives)—can be used for promotions aimed at attracting visitors on weekdays and during off-peak periods. This then reduces the cost burden on local governments while establishing a competitive advantage for Yuko Yuko and overall creating more active, vibrant regions on the weekdays. </w:t>
      </w:r>
    </w:p>
    <w:p>
      <w:pPr/>
      <w:r>
        <w:rPr>
          <w:rFonts w:ascii="Arial" w:hAnsi="Arial" w:cs="Arial"/>
          <w:sz w:val="24"/>
          <w:sz-cs w:val="24"/>
        </w:rPr>
        <w:t xml:space="preserve"/>
      </w:r>
    </w:p>
    <w:p>
      <w:pPr/>
      <w:r>
        <w:rPr>
          <w:rFonts w:ascii="Arial" w:hAnsi="Arial" w:cs="Arial"/>
          <w:sz w:val="24"/>
          <w:sz-cs w:val="24"/>
          <w:u w:val="single"/>
        </w:rPr>
        <w:t xml:space="preserve">The Appeal of Analog for the Digital Generation</w:t>
      </w:r>
    </w:p>
    <w:p>
      <w:pPr/>
      <w:r>
        <w:rPr>
          <w:rFonts w:ascii="Arial" w:hAnsi="Arial" w:cs="Arial"/>
          <w:sz w:val="24"/>
          <w:sz-cs w:val="24"/>
        </w:rPr>
        <w:t xml:space="preserve">Yuko Yuko’s team understands the importance of promoting the digitalization of its business while at the same time enhancing its longstanding “analog” engagement with customers and communities. As an example, the collaboration with Yugawara Hot Springs in Kanagawa Prefecture began when Yuko Yuko’s management assisted with resuming a local festival that had been postponed during COVID. “We were extremely busy with the response to the prefectural discounts across the country, but our intention was to see firsthand what issues existed on the ground as more and more local festivals resume. We wanted to do a trial run to see how Yuko Yuko could get involved in community events.”</w:t>
      </w:r>
    </w:p>
    <w:p>
      <w:pPr/>
      <w:r>
        <w:rPr>
          <w:rFonts w:ascii="Arial" w:hAnsi="Arial" w:cs="Arial"/>
          <w:sz w:val="24"/>
          <w:sz-cs w:val="24"/>
        </w:rPr>
        <w:t xml:space="preserve"/>
      </w:r>
    </w:p>
    <w:p>
      <w:pPr/>
      <w:r>
        <w:rPr>
          <w:rFonts w:ascii="Arial" w:hAnsi="Arial" w:cs="Arial"/>
          <w:sz w:val="24"/>
          <w:sz-cs w:val="24"/>
        </w:rPr>
        <w:t xml:space="preserve">Yugawara’s “Firefly Party” is a small local festival in which fireflies raised by local elementary school children are released at a stream. On the day of the festival, Yuko Yuko set up a tent and distributed pamphlets from the tourist association, Yuko Yuko’s lodging information magazine, and a guidebook of local restaurants that was handmade by the company’s sales staff.</w:t>
      </w:r>
    </w:p>
    <w:p>
      <w:pPr/>
      <w:r>
        <w:rPr>
          <w:rFonts w:ascii="Arial" w:hAnsi="Arial" w:cs="Arial"/>
          <w:sz w:val="24"/>
          <w:sz-cs w:val="24"/>
        </w:rPr>
        <w:t xml:space="preserve"/>
      </w:r>
    </w:p>
    <w:p>
      <w:pPr/>
      <w:r>
        <w:rPr>
          <w:rFonts w:ascii="Arial" w:hAnsi="Arial" w:cs="Arial"/>
          <w:sz w:val="24"/>
          <w:sz-cs w:val="24"/>
        </w:rPr>
        <w:t xml:space="preserve">“Yugawara, located in the backcountry between Hakone and Atami, has traditionally been an area where major agencies have had a strong influence, but Yuko Yuko employees showing up wearing matching happi (Japanese coats typically worn at festivals) and working hard to enliven the environment has had an impact on how the local community sees us,” explains Tokuda. “It was the first onsite event we had held in a long time, and we were also able to thoroughly enjoy it. We gained the trust of the local community because we took the stance that tourism should be promoted only after first creating vibrancy for the community, versus solely focusing on our own sales. This event and follow-up discussions ultimately led to business for Yuko Yuko, as we were asked to help bring in more visitors using Yugawara’s extra available budget.”</w:t>
      </w:r>
    </w:p>
    <w:p>
      <w:pPr/>
      <w:r>
        <w:rPr>
          <w:rFonts w:ascii="Arial" w:hAnsi="Arial" w:cs="Arial"/>
          <w:sz w:val="24"/>
          <w:sz-cs w:val="24"/>
        </w:rPr>
        <w:t xml:space="preserve"/>
      </w:r>
    </w:p>
    <w:p>
      <w:pPr/>
      <w:r>
        <w:rPr>
          <w:rFonts w:ascii="Arial" w:hAnsi="Arial" w:cs="Arial"/>
          <w:sz w:val="24"/>
          <w:sz-cs w:val="24"/>
        </w:rPr>
        <w:t xml:space="preserve">In these discussions, Yuko Yuko had the opportunity to explain in detail how the company’s profit model is tied to inns’ occupancy management, and the number of Yuko Yuko participating inns in Yugawara increased rapidly as the concept of attracting guests on weekdays after exceeding the break-even point from weekend guests and direct reservations was accepted. Luxury inns with a small number of rooms, which often become opinion leaders in the region, are excluded from the regular Yuko Yuko lineup, but are included in a “Selection Inns” page featuring luxury inns along with a promotion on “Recommended Inns for Anniversaries.”</w:t>
      </w:r>
    </w:p>
    <w:p>
      <w:pPr/>
      <w:r>
        <w:rPr>
          <w:rFonts w:ascii="Arial" w:hAnsi="Arial" w:cs="Arial"/>
          <w:sz w:val="24"/>
          <w:sz-cs w:val="24"/>
        </w:rPr>
        <w:t xml:space="preserve"/>
      </w:r>
    </w:p>
    <w:p>
      <w:pPr/>
      <w:r>
        <w:rPr>
          <w:rFonts w:ascii="Arial" w:hAnsi="Arial" w:cs="Arial"/>
          <w:sz w:val="24"/>
          <w:sz-cs w:val="24"/>
        </w:rPr>
        <w:t xml:space="preserve">At Yuko Yuko’s headquarters office, receiving gifts from long-time members—like boxes of tangerines from members’ gardens—and local delicacies from inns is a regular occurrence. Yuko Yuko also restarted new graduate hiring 3 years ago, and now has an applicant-to job opening ratio of more than 50x, with an increasing number of applicants citing Yuko Yuko’s analog interface as the reason for their interest in the company.</w:t>
      </w:r>
    </w:p>
    <w:p>
      <w:pPr/>
      <w:r>
        <w:rPr>
          <w:rFonts w:ascii="Arial" w:hAnsi="Arial" w:cs="Arial"/>
          <w:sz w:val="24"/>
          <w:sz-cs w:val="24"/>
        </w:rPr>
        <w:t xml:space="preserve"/>
      </w:r>
    </w:p>
    <w:p>
      <w:pPr/>
      <w:r>
        <w:rPr>
          <w:rFonts w:ascii="Arial" w:hAnsi="Arial" w:cs="Arial"/>
          <w:sz w:val="24"/>
          <w:sz-cs w:val="24"/>
        </w:rPr>
        <w:t xml:space="preserve">“It’s hard to feel if you’re living in a major city, but Japan is mostly regional countryside. We feel the nation’s strength will decline if regional development efforts do not succeed, and as such we want to shine a light on this. When I talk directly with members and innkeepers, I really feel that we operate our business to make these people happy,” says Tokuda. “The other day the contact center received a call saying ‘Thank you for continuing to send us the lodging magazine during COVID. It was very encouraging. Now that things have finally settled down with COVID, I'll be traveling more and more from now on.’ For the younger generation, it is the best motivation to receive real thank yous from our members and inns."</w:t>
      </w:r>
    </w:p>
    <w:p>
      <w:pPr/>
      <w:r>
        <w:rPr>
          <w:rFonts w:ascii="Arial" w:hAnsi="Arial" w:cs="Arial"/>
          <w:sz w:val="24"/>
          <w:sz-cs w:val="24"/>
        </w:rPr>
        <w:t xml:space="preserve"/>
        <w:br w:type="page"/>
        <w:t xml:space="preserve"/>
      </w:r>
    </w:p>
    <w:p>
      <w:pPr/>
      <w:r>
        <w:rPr>
          <w:rFonts w:ascii="Arial" w:hAnsi="Arial" w:cs="Arial"/>
          <w:sz w:val="24"/>
          <w:sz-cs w:val="24"/>
          <w:b/>
        </w:rPr>
        <w:t xml:space="preserve">Supporting Dual-Income Households with Kids Corporation </w:t>
      </w:r>
    </w:p>
    <w:p>
      <w:pPr/>
      <w:r>
        <w:rPr>
          <w:rFonts w:ascii="Arial" w:hAnsi="Arial" w:cs="Arial"/>
          <w:sz w:val="24"/>
          <w:sz-cs w:val="24"/>
        </w:rPr>
        <w:t xml:space="preserve">While much attention is focused on Japan’s labor force shortage due to the declining birthrate and aging population, one of the few bright areas concerning this issue is the increase in the number of dual-income households, backed by the government-led development of daycare facilities as typified by licensed daycare centers. While the daycare center usage continues to rise, the number of children on waiting lists for daycare services has decreased from over 25,000 in 2017 to less than 3,000 in 2022, suggesting that the government-led efforts to improve child-rearing environments has had an impact. However, to further promote the balancing of work and child-rearing for dual-income households, Unison believes that flexible childcare services which meet needs that cannot be met at licensed childcare centers and efforts by employers to improve the child-rearing environment are necessary, and that business opportunities exist here.</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Source: Ministry of Health, Labour and Welfare, “Summary of Situations Related to Daycare Centers (April 1, 2022)”</w:t>
      </w:r>
    </w:p>
    <w:p>
      <w:pPr/>
      <w:r>
        <w:rPr>
          <w:rFonts w:ascii="Arial" w:hAnsi="Arial" w:cs="Arial"/>
          <w:sz w:val="24"/>
          <w:sz-cs w:val="24"/>
        </w:rPr>
        <w:t xml:space="preserve">https://www.mhlw.go.jp/stf/newpage_27446.html</w:t>
      </w:r>
    </w:p>
    <w:p>
      <w:pPr/>
      <w:r>
        <w:rPr>
          <w:rFonts w:ascii="Arial" w:hAnsi="Arial" w:cs="Arial"/>
          <w:sz w:val="24"/>
          <w:sz-cs w:val="24"/>
        </w:rPr>
        <w:t xml:space="preserve"/>
      </w:r>
    </w:p>
    <w:p>
      <w:pPr/>
      <w:r>
        <w:rPr>
          <w:rFonts w:ascii="Arial" w:hAnsi="Arial" w:cs="Arial"/>
          <w:sz w:val="24"/>
          <w:sz-cs w:val="24"/>
        </w:rPr>
        <w:t xml:space="preserve">Recognizing these needs, Unison invested in Kids Corporation Holdings (“Kids Corporation”) in July 2022. Kids Corporation is a provider of management services for in-hospital and corporate daycare centers, and as of April 2023 had 241 such centers under management nationwide. The distinctive feature of the Kids Corporation’s daycare centers is their ability to respond to needs that are not fully met by licensed daycare centers. For example, most licensed daycare centers are open only during the daytime and cannot provide childcare services for nurses and employees who work night shifts. Kids Corporation operates in-hospital and corporate childcare centers that provide late-night services, making it possible for employees with preschool children to work at night. In doing so, Kids Corporation operates a business with important social significance as it provides solutions to both clients who want to secure human resources and employees with preschool-age children the opportunity to work.</w:t>
      </w:r>
    </w:p>
    <w:p>
      <w:pPr/>
      <w:r>
        <w:rPr>
          <w:rFonts w:ascii="Arial" w:hAnsi="Arial" w:cs="Arial"/>
          <w:sz w:val="24"/>
          <w:sz-cs w:val="24"/>
        </w:rPr>
        <w:t xml:space="preserve"/>
      </w:r>
    </w:p>
    <w:p>
      <w:pPr/>
      <w:r>
        <w:rPr>
          <w:rFonts w:ascii="Arial" w:hAnsi="Arial" w:cs="Arial"/>
          <w:sz w:val="24"/>
          <w:sz-cs w:val="24"/>
        </w:rPr>
        <w:t xml:space="preserve">Masakazu Otsuka, CEO of Kids Corporation, reflects on the time when the company launched its business of operating outsourced in-hospital and corporate childcare centers. “After working as a preschool teacher, I founded Kids Corporation at the age of 27. In the late 1990s, about five years after the company was founded, we were asked by the North Kanto Plant of JAPAN TOBACCO INC. to dispatch childcare workers to the plant's daycare facility. Since the plant operates 24 hours, including night shifts, they had established these facilities for their employees to use shortly after World War II. Upon learning of this need and further investigation, we learned that hospitals had similar needs and that the number of in-hospital daycare centers was gradually increasing. I was shocked when I visited one such in-hospital daycare center, as the place was more of a drop-off nursery, with staff showing the children TV and not picking up the children even when they cried. I felt then that this is not the way it should be, and that we must provide in-hospitals and corporate daycare centers with quality childcare services that nurture the mind and body rather than simply offer a place to drop off children while parents work. Our hospitals and corporate clients often tell us, ‘The quality of our childcare services has improved since we outsourced to Kids Corporation. The parents are thrilled,’ and behind this success is the sense of purpose I had when I started this business and my background as a preschool teacher.”</w:t>
      </w:r>
    </w:p>
    <w:p>
      <w:pPr/>
      <w:r>
        <w:rPr>
          <w:rFonts w:ascii="Arial" w:hAnsi="Arial" w:cs="Arial"/>
          <w:sz w:val="24"/>
          <w:sz-cs w:val="24"/>
        </w:rPr>
        <w:t xml:space="preserve"/>
      </w:r>
    </w:p>
    <w:p>
      <w:pPr/>
      <w:r>
        <w:rPr>
          <w:rFonts w:ascii="Arial" w:hAnsi="Arial" w:cs="Arial"/>
          <w:sz w:val="24"/>
          <w:sz-cs w:val="24"/>
        </w:rPr>
        <w:t xml:space="preserve">Otsuka believes that Kids Corporation is able to successfully support parents and client companies because of its underlying strength in offering quality childcare. “We have been entrusted with the operation of more than 240 childcare centers because of how highly our childcare philosophy has been rated. Because we provide high-quality childcare, hospital and company employees can entrust their children to us at our daycare centers with peace of mind. As a result, employees can work without giving up their careers, and we can also contribute to hospital and corporate talent management. We will continue to build daycare centers that further this cycle.”</w:t>
      </w:r>
    </w:p>
    <w:p>
      <w:pPr/>
      <w:r>
        <w:rPr>
          <w:rFonts w:ascii="Arial" w:hAnsi="Arial" w:cs="Arial"/>
          <w:sz w:val="24"/>
          <w:sz-cs w:val="24"/>
        </w:rPr>
        <w:t xml:space="preserve"/>
      </w:r>
    </w:p>
    <w:p>
      <w:pPr/>
      <w:r>
        <w:rPr>
          <w:rFonts w:ascii="Arial" w:hAnsi="Arial" w:cs="Arial"/>
          <w:sz w:val="24"/>
          <w:sz-cs w:val="24"/>
        </w:rPr>
        <w:t xml:space="preserve">Parents who use the in-hospital and corporate daycare centers operated by Kids Corporation have praised the quality of care, with comments like “I used to send my older child to a licensed daycare center, but the quality of Kids Corporation’s care is even better than that of the licensed daycare center. I have often asked for childcare after the application deadline due to sudden changes in my work schedule, but the daycare has always graciously accepted my application and I am very grateful for it. I feel that I’m able to work because of Kids Corporation.”</w:t>
      </w:r>
    </w:p>
    <w:p>
      <w:pPr/>
      <w:r>
        <w:rPr>
          <w:rFonts w:ascii="Arial" w:hAnsi="Arial" w:cs="Arial"/>
          <w:sz w:val="24"/>
          <w:sz-cs w:val="24"/>
        </w:rPr>
        <w:t xml:space="preserve"/>
      </w:r>
    </w:p>
    <w:p>
      <w:pPr/>
      <w:r>
        <w:rPr>
          <w:rFonts w:ascii="Arial" w:hAnsi="Arial" w:cs="Arial"/>
          <w:sz w:val="24"/>
          <w:sz-cs w:val="24"/>
        </w:rPr>
        <w:t xml:space="preserve">By strengthening its sales organization with Unison’s support, Kids Corporation aims to expand its childcare services to more hospitals and corporations, thereby achieving both sales growth and increasing Kids Corporation’s corporate value as well as providing solutions to the social issue of improving childcare environments. However, the childcare industry is also facing labor shortages, and to increase the number of outsourced childcare centers, it is important to retain the childcare workers who support the frontlines of this industry. Otsuka explains, “The key to creating a comfortable working environment for childcare workers is the principal and the supervisors who support the principal. We have seen many instances where the arrival of an excellent and well-balanced principal has stabilized a childcare center’s operations, including reducing turnover.”. To ensure sustainable growth, Kids Corporation and Unison will accelerate various initiatives—including further enhancement of supervisor functions responsible for supporting and educating childcare centers—to reduce turnover and improve childcare worker satisfaction.</w:t>
      </w:r>
    </w:p>
    <w:p>
      <w:pPr/>
      <w:r>
        <w:rPr>
          <w:rFonts w:ascii="Arial" w:hAnsi="Arial" w:cs="Arial"/>
          <w:sz w:val="24"/>
          <w:sz-cs w:val="24"/>
        </w:rPr>
        <w:t xml:space="preserve"/>
      </w:r>
    </w:p>
    <w:p>
      <w:pPr/>
      <w:r>
        <w:rPr>
          <w:rFonts w:ascii="Arial" w:hAnsi="Arial" w:cs="Arial"/>
          <w:sz w:val="24"/>
          <w:sz-cs w:val="24"/>
        </w:rPr>
        <w:t xml:space="preserve">For Unison’s investment in Kids Corporation, increasing corporate value and solving social issues are two sides of the same coin. Unison will continue to enhance the value of Kids Corporation in order to realize its founding mission of pursuing both investment returns and social impact.</w:t>
      </w:r>
    </w:p>
    <w:p>
      <w:pPr/>
      <w:r>
        <w:rPr>
          <w:rFonts w:ascii="Arial" w:hAnsi="Arial" w:cs="Arial"/>
          <w:sz w:val="24"/>
          <w:sz-cs w:val="24"/>
        </w:rPr>
        <w:t xml:space="preserve"/>
        <w:br w:type="page"/>
        <w:t xml:space="preserve"/>
      </w:r>
      <w:r>
        <w:rPr>
          <w:rFonts w:ascii="Arial" w:hAnsi="Arial" w:cs="Arial"/>
          <w:sz w:val="24"/>
          <w:sz-cs w:val="24"/>
          <w:b/>
        </w:rPr>
        <w:t xml:space="preserve">Column: Sustainability-Linked Loans</w:t>
      </w:r>
    </w:p>
    <w:p>
      <w:pPr/>
      <w:r>
        <w:rPr>
          <w:rFonts w:ascii="Arial" w:hAnsi="Arial" w:cs="Arial"/>
          <w:sz w:val="24"/>
          <w:sz-cs w:val="24"/>
        </w:rPr>
        <w:t xml:space="preserve">Historically, sustainable finance that incorporates sustainability factors into its funding has been dominated by green bonds, which are used to finance environment-related projects carried out by government agencies and infrastructure companies. In recent years, there has been a significant increase in the number and amount of unrestricted sustainability linked loans (“SLL”) for general corporations, but their use in the context of buyout fund-related LBO loans has not been widespread.</w:t>
      </w:r>
    </w:p>
    <w:p>
      <w:pPr/>
      <w:r>
        <w:rPr>
          <w:rFonts w:ascii="Arial" w:hAnsi="Arial" w:cs="Arial"/>
          <w:sz w:val="24"/>
          <w:sz-cs w:val="24"/>
        </w:rPr>
        <w:t xml:space="preserve"/>
      </w:r>
    </w:p>
    <w:p>
      <w:pPr/>
      <w:r>
        <w:rPr>
          <w:rFonts w:ascii="Arial" w:hAnsi="Arial" w:cs="Arial"/>
          <w:sz w:val="24"/>
          <w:sz-cs w:val="24"/>
        </w:rPr>
        <w:t xml:space="preserve">For the investment in Kids Corporation, Unison designed an LBO loan as an SLL, which promotes efforts to solve social issues with economic incentives. SLLs use KPIs in line with the borrower’s sustainability strategy to set ambitious performance targets, called Sustainability Performance Targets (SPTs), which determine how interest rates and other terms of the loan will fluctuate depending on their achievement.</w:t>
      </w:r>
    </w:p>
    <w:p>
      <w:pPr/>
      <w:r>
        <w:rPr>
          <w:rFonts w:ascii="Arial" w:hAnsi="Arial" w:cs="Arial"/>
          <w:sz w:val="24"/>
          <w:sz-cs w:val="24"/>
        </w:rPr>
        <w:t xml:space="preserve"/>
      </w:r>
    </w:p>
    <w:p>
      <w:pPr/>
      <w:r>
        <w:rPr>
          <w:rFonts w:ascii="Arial" w:hAnsi="Arial" w:cs="Arial"/>
          <w:sz w:val="24"/>
          <w:sz-cs w:val="24"/>
        </w:rPr>
        <w:t xml:space="preserve">For this SLL, KPIs were set for the net increase in the number of in-hospital and corporate childcare centers operated by Kids Corporation as well as the turnover rate of childcare workers, with SPTs established based on these KPIs. By introducing a tangible incentive in the form of lower interest rates, the SLL was designed to encourage Kids Corporation to take autonomous action toward achieving the SPTs.</w:t>
      </w:r>
    </w:p>
    <w:p>
      <w:pPr/>
      <w:r>
        <w:rPr>
          <w:rFonts w:ascii="Arial" w:hAnsi="Arial" w:cs="Arial"/>
          <w:sz w:val="24"/>
          <w:sz-cs w:val="24"/>
        </w:rPr>
        <w:t xml:space="preserve"/>
      </w:r>
    </w:p>
    <w:p>
      <w:pPr/>
      <w:r>
        <w:rPr>
          <w:rFonts w:ascii="Arial" w:hAnsi="Arial" w:cs="Arial"/>
          <w:sz w:val="24"/>
          <w:sz-cs w:val="24"/>
        </w:rPr>
        <w:t xml:space="preserve">If the improvement of sustainability indicators is linked to improved business performance and corporate value, it makes sense for lenders to have a mechanism in which interest rates are lowered upon the achievement of sustainability indicator targets. The potential social impact of SLL taking root in Japan's LBO loan market—which now stands at more than 4 trillion yen—is significant, and Unison will continue to work with lenders to promote SLL in the LBO loan market. </w:t>
      </w:r>
    </w:p>
    <w:p>
      <w:pPr/>
      <w:r>
        <w:rPr>
          <w:rFonts w:ascii="Arial" w:hAnsi="Arial" w:cs="Arial"/>
          <w:sz w:val="24"/>
          <w:sz-cs w:val="24"/>
        </w:rPr>
        <w:t xml:space="preserve"/>
        <w:br w:type="page"/>
        <w:t xml:space="preserve"/>
      </w:r>
    </w:p>
    <w:p>
      <w:pPr/>
      <w:r>
        <w:rPr>
          <w:rFonts w:ascii="Arial" w:hAnsi="Arial" w:cs="Arial"/>
          <w:sz w:val="24"/>
          <w:sz-cs w:val="24"/>
          <w:b/>
          <w:u w:val="single"/>
        </w:rPr>
        <w:t xml:space="preserve">IDEATION 3X’s Circular Economy Platform</w:t>
      </w:r>
    </w:p>
    <w:p>
      <w:pPr/>
      <w:r>
        <w:rPr>
          <w:rFonts w:ascii="Arial" w:hAnsi="Arial" w:cs="Arial"/>
          <w:sz w:val="24"/>
          <w:sz-cs w:val="24"/>
          <w:b/>
          <w:u w:val="single"/>
        </w:rPr>
        <w:t xml:space="preserve"/>
      </w:r>
    </w:p>
    <w:p>
      <w:pPr/>
      <w:r>
        <w:rPr>
          <w:rFonts w:ascii="Arial" w:hAnsi="Arial" w:cs="Arial"/>
          <w:sz w:val="24"/>
          <w:sz-cs w:val="24"/>
          <w:u w:val="single"/>
        </w:rPr>
        <w:t xml:space="preserve">Introduction</w:t>
      </w:r>
    </w:p>
    <w:p>
      <w:pPr/>
      <w:r>
        <w:rPr>
          <w:rFonts w:ascii="Arial" w:hAnsi="Arial" w:cs="Arial"/>
          <w:sz w:val="24"/>
          <w:sz-cs w:val="24"/>
        </w:rPr>
        <w:t xml:space="preserve">While Unison has continued to expand on its buyout fund-focused ESG activities, Unison also recognizes that amplifying our ESG impact in a significant way requires commitment to creating impact on a global level and effective collaboration with industry innovators and leaders. To achieve this, in recent years Unison has worked to partner with key innovators and start-ups in regions facing critical ESG issues in which Japan is recognized as an industry thought leader, as well as leverage Unison’s network of major Japanese companies to help support these innovators in providing meaningful ESG solutions to the regions they serve. </w:t>
      </w:r>
    </w:p>
    <w:p>
      <w:pPr/>
      <w:r>
        <w:rPr>
          <w:rFonts w:ascii="Arial" w:hAnsi="Arial" w:cs="Arial"/>
          <w:sz w:val="24"/>
          <w:sz-cs w:val="24"/>
        </w:rPr>
        <w:t xml:space="preserve"/>
      </w:r>
    </w:p>
    <w:p>
      <w:pPr/>
      <w:r>
        <w:rPr>
          <w:rFonts w:ascii="Arial" w:hAnsi="Arial" w:cs="Arial"/>
          <w:sz w:val="24"/>
          <w:sz-cs w:val="24"/>
        </w:rPr>
        <w:t xml:space="preserve">One such industry is waste management. While Japan is widely considered a global leader in waste management practices, in other parts of the world waste management remains a critical, under-addressed issue, resulting in significant pollution—an estimated 11% of all methane gas is produced from waste—and landfill dumping, which directly impacts the health and safety of the local population and environment. Regions impacted by waste management issues include many parts of South Asia, where only 5% of waste is recycled and only up to 21% of waste is treated, with the remainder being dumped into landfills. In addition, the waste management industry’s unhygienic practices, intrinsic reliance on dumping waste in landfills, and not recovering products that could be reused/recycled, inherently contradict ESG efforts to reduce and control such waste. </w:t>
      </w:r>
    </w:p>
    <w:p>
      <w:pPr/>
      <w:r>
        <w:rPr>
          <w:rFonts w:ascii="Arial" w:hAnsi="Arial" w:cs="Arial"/>
          <w:sz w:val="24"/>
          <w:sz-cs w:val="24"/>
        </w:rPr>
        <w:t xml:space="preserve"/>
      </w:r>
    </w:p>
    <w:p>
      <w:pPr/>
      <w:r>
        <w:rPr>
          <w:rFonts w:ascii="Arial" w:hAnsi="Arial" w:cs="Arial"/>
          <w:sz w:val="24"/>
          <w:sz-cs w:val="24"/>
        </w:rPr>
        <w:t xml:space="preserve">Countries facing severe waste management crises must clear urban landfills and introduce scientific waste segregation and management. India is a key example, with the Indian government leading an ambitious nationwide mission to manage liquid and solid waste to reduce pollution and enhance hygiene and sanitation. IDEATION 3X (“i3X”), a Singapore-based privately held “circular economy platform” in Asia. i3X provides end-to-end, integrated solid waste management (ISWM) services and high-quality fossil fuel alternatives produced from collected waste, thereby ensuring waste is effectively recaptured and used for resources versus remaining in overflowing landfills. </w:t>
      </w:r>
    </w:p>
    <w:p>
      <w:pPr/>
      <w:r>
        <w:rPr>
          <w:rFonts w:ascii="Arial" w:hAnsi="Arial" w:cs="Arial"/>
          <w:sz w:val="24"/>
          <w:sz-cs w:val="24"/>
        </w:rPr>
        <w:t xml:space="preserve"/>
      </w:r>
    </w:p>
    <w:p>
      <w:pPr/>
      <w:r>
        <w:rPr>
          <w:rFonts w:ascii="Arial" w:hAnsi="Arial" w:cs="Arial"/>
          <w:sz w:val="24"/>
          <w:sz-cs w:val="24"/>
        </w:rPr>
        <w:t xml:space="preserve">Separate from its Japan and Korea buyout fund operations, Unison has been involved with i3X since its incubation with a seed fund investment in 2018. In addition to funding, Unison supports i3X’s growth by providing finance/governance expertise as well as access to its network gained from decades of buyout fund experience. In January 2023, Yokogawa Electric Corporation, a major Japanese provider of industrial automation and test and measurement solutions with significant global experience in waste-to-energy plant control systems and India’s energy and related markets, made an investment in i3X with the aim of supporting i3X’s next phase of growth.</w:t>
      </w:r>
    </w:p>
    <w:p>
      <w:pPr/>
      <w:r>
        <w:rPr>
          <w:rFonts w:ascii="Arial" w:hAnsi="Arial" w:cs="Arial"/>
          <w:sz w:val="24"/>
          <w:sz-cs w:val="24"/>
        </w:rPr>
        <w:t xml:space="preserve"/>
      </w:r>
    </w:p>
    <w:p>
      <w:pPr/>
      <w:r>
        <w:rPr>
          <w:rFonts w:ascii="Arial" w:hAnsi="Arial" w:cs="Arial"/>
          <w:sz w:val="24"/>
          <w:sz-cs w:val="24"/>
          <w:u w:val="single"/>
        </w:rPr>
        <w:t xml:space="preserve">i3X Overview</w:t>
      </w:r>
    </w:p>
    <w:p>
      <w:pPr/>
      <w:r>
        <w:rPr>
          <w:rFonts w:ascii="Arial" w:hAnsi="Arial" w:cs="Arial"/>
          <w:sz w:val="24"/>
          <w:sz-cs w:val="24"/>
        </w:rPr>
        <w:t xml:space="preserve">i3X has a dual mission to keep global warming under 2 degrees, both by bringing scientists, engineers, governments, investors, and communities together to reduce land, air and water pollution, as well as solving severe global warming issues by creating alternatives to fossil fuel using waste as the raw material. i3X operates 3 portfolio companies that focus on different stages of the ISWM cycle, including 1) collecting, sorting and transportation of waste, 2) further segregation and reuse/recycling of waste in partnership with ISWM experts in India, and 3) creation of alternatives to fossil fuels.</w:t>
      </w:r>
    </w:p>
    <w:p>
      <w:pPr/>
      <w:r>
        <w:rPr>
          <w:rFonts w:ascii="Arial" w:hAnsi="Arial" w:cs="Arial"/>
          <w:sz w:val="24"/>
          <w:sz-cs w:val="24"/>
        </w:rPr>
        <w:t xml:space="preserve"/>
      </w:r>
    </w:p>
    <w:p>
      <w:pPr/>
      <w:r>
        <w:rPr>
          <w:rFonts w:ascii="Arial" w:hAnsi="Arial" w:cs="Arial"/>
          <w:sz w:val="24"/>
          <w:sz-cs w:val="24"/>
        </w:rPr>
        <w:t xml:space="preserve">i3X’s current focus on India has been largely based on the country’s government-mandated “Clean India Mission”, which has tasked local municipalities with clearing more than 1 billion tons of waste from the country’s 3,000 landfills by 2030. Faced with this enormous challenge, many of these local municipalities are now working with private institutions like i3X to accelerate the process and introduce necessary sanitation practices. i3X is currently the only comprehensive platform in India that uses innovative technologies to support municipalities with a full range of ISWM solutions, from collection, sorting and transportation of waste, to recycle/reuse operations through biomining/waste processing. In addition, i3X’s innovative technologies extend to manufacturing of alternatives to fossil fuels, including refused derived fuel, plastic polymer fuel, bio-compressed natural gas, and alternative diesel fuel. These alternative fuels are used by various private industries to replace diesel, a fossil fuel used for thermal applications.</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u w:val="single"/>
        </w:rPr>
        <w:t xml:space="preserve">i3X at Work</w:t>
      </w:r>
    </w:p>
    <w:p>
      <w:pPr/>
      <w:r>
        <w:rPr>
          <w:rFonts w:ascii="Arial" w:hAnsi="Arial" w:cs="Arial"/>
          <w:sz w:val="24"/>
          <w:sz-cs w:val="24"/>
        </w:rPr>
        <w:t xml:space="preserve">i3x’s footprint in India has grown rapidly and is evolving across a multitude of projects across several municipalities. For example, i3X won a mandate in November 2022 for biomining (i.e. scientifically processing and clearing) a landfill in the village of Ghazipur in New Delhi by 2025.</w:t>
      </w:r>
    </w:p>
    <w:p>
      <w:pPr/>
      <w:r>
        <w:rPr>
          <w:rFonts w:ascii="Arial" w:hAnsi="Arial" w:cs="Arial"/>
          <w:sz w:val="24"/>
          <w:sz-cs w:val="24"/>
        </w:rPr>
        <w:t xml:space="preserve"/>
      </w:r>
    </w:p>
    <w:p>
      <w:pPr/>
      <w:r>
        <w:rPr>
          <w:rFonts w:ascii="Arial" w:hAnsi="Arial" w:cs="Arial"/>
          <w:sz w:val="24"/>
          <w:sz-cs w:val="24"/>
        </w:rPr>
        <w:t xml:space="preserve">The Ghazipur landfill holds approximately 10 million tons of waste and at its peak is a hill of waste that sits at roughly 65 meters in height. In addition to the pollution and health risks caused to local communities by landfills that are not properly processed, fires at the Ghazipur landfill are common, and have led to unsafe conditions for those in areas immediately surrounding the landfill, as well as contributing to poor air quality conditions in New Delhi. Clearing the landfill is a high priority for government officials tasked with pushing through the Clean 2.0 Mission, and the progress being made has not gone unnoticed. Mr. Gautam Gambhir, a member of Indian parliament noted publicly, “Reduction of Ghazipur landfill, a grave health hazard and national shame has been my duty and priority. In three years [Ghazipur landfill] will be decimated totally. Daily approximately 6,000-7,000 metric tons of legacy waste is being biomined already.” </w:t>
      </w:r>
    </w:p>
    <w:p>
      <w:pPr/>
      <w:r>
        <w:rPr>
          <w:rFonts w:ascii="Arial" w:hAnsi="Arial" w:cs="Arial"/>
          <w:sz w:val="24"/>
          <w:sz-cs w:val="24"/>
        </w:rPr>
        <w:t xml:space="preserve"/>
      </w:r>
    </w:p>
    <w:p>
      <w:pPr/>
      <w:r>
        <w:rPr>
          <w:rFonts w:ascii="Arial" w:hAnsi="Arial" w:cs="Arial"/>
          <w:sz w:val="24"/>
          <w:sz-cs w:val="24"/>
        </w:rPr>
        <w:t xml:space="preserve">Waste from the Ghazipur landfill and other ISWM projects is segregated and part of it is reused or recycled. Solid waste such as end-of-life plastic and rubber is used to manufacture “green fuels”, such as alternative diesel fuel and plastic polymer fuel, which is manufactured in an i3X portfolio facility located in suburban Hyderabad. Such fuels are then sold to industries, thereby creating i3X’s aforementioned “circular economy platform”. Dr. Manoj Jain, Chairman and Founder of i3X, explains, “Creating circular economies is critical if we are to achieve our dual mission of limiting global warming to under 2 degrees and solving severe global warming issues. Instead of only managing to clear landfills or create alternative fuels, it is necessary to offer a complete infrastructure to optimize integrated solid waste management practices to a global standard. i3X‘s end-to-end solutions for local and regional economies’ waste issues uniquely position us to support local governing bodies in accelerating their adoption of waste management practices, and we are deeply committed to furthering our work in India and other regions.”</w:t>
      </w:r>
    </w:p>
    <w:p>
      <w:pPr/>
      <w:r>
        <w:rPr>
          <w:rFonts w:ascii="Arial" w:hAnsi="Arial" w:cs="Arial"/>
          <w:sz w:val="24"/>
          <w:sz-cs w:val="24"/>
        </w:rPr>
        <w:t xml:space="preserve"/>
      </w:r>
    </w:p>
    <w:p>
      <w:pPr/>
      <w:r>
        <w:rPr>
          <w:rFonts w:ascii="Arial" w:hAnsi="Arial" w:cs="Arial"/>
          <w:sz w:val="24"/>
          <w:sz-cs w:val="24"/>
          <w:u w:val="single"/>
        </w:rPr>
        <w:t xml:space="preserve">Next Phase of Growth</w:t>
      </w:r>
    </w:p>
    <w:p>
      <w:pPr/>
      <w:r>
        <w:rPr>
          <w:rFonts w:ascii="Arial" w:hAnsi="Arial" w:cs="Arial"/>
          <w:sz w:val="24"/>
          <w:sz-cs w:val="24"/>
        </w:rPr>
        <w:t xml:space="preserve">In the next phase of growth, i3X will look to continue to expand its ISWM work in India, while also cooperating with other regions facing similar issues to India, such as Indonesia and parts of the Middle East and North Africa, where governments may begin implementing similar national impact policies. In addition to its ISWM-centered business model, i3x also endeavors to drive adoption of ESG practices in the waste industry by providing technologies and governance standards while encouraging business partners in the sector to adopt ESG-centered best practices. Through these activities, i3X aims to accelerate its ESG efforts and leadership in the waste management industry, which will be critical to achieving its circular-economy platform’s core mission. i3X will also continue to work closely with its investors and partners—including Yokogawa and Unison—to innovate its services and offerings and promote adoption of ESG-centered industry practices.  </w:t>
      </w:r>
    </w:p>
    <w:p>
      <w:pPr/>
      <w:r>
        <w:rPr>
          <w:rFonts w:ascii="Arial" w:hAnsi="Arial" w:cs="Arial"/>
          <w:sz w:val="24"/>
          <w:sz-cs w:val="24"/>
        </w:rPr>
        <w:t xml:space="preserve"/>
      </w:r>
    </w:p>
    <w:p>
      <w:pPr/>
      <w:r>
        <w:rPr>
          <w:rFonts w:ascii="Arial" w:hAnsi="Arial" w:cs="Arial"/>
          <w:sz w:val="24"/>
          <w:sz-cs w:val="24"/>
        </w:rPr>
        <w:t xml:space="preserve">For Unison, i3X is only the beginning of potential collaborations with major corporations and start-ups to leverage Japanese thought leadership and industry innovations to accelerate ESG adoption across the globe. Unison will continue to strengthen and expand on this work as part of our larger ESG efforts, with the aim to build a community that promotes innovative partnership across the broader ESG framework. </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br w:type="page"/>
        <w:t xml:space="preserve"/>
      </w:r>
    </w:p>
    <w:p>
      <w:pPr/>
      <w:r>
        <w:rPr>
          <w:rFonts w:ascii="Arial" w:hAnsi="Arial" w:cs="Arial"/>
          <w:sz w:val="24"/>
          <w:sz-cs w:val="24"/>
          <w:b/>
        </w:rPr>
        <w:t xml:space="preserve">ESG Data Quantification and Impact Visualization</w:t>
      </w:r>
    </w:p>
    <w:p>
      <w:pPr/>
      <w:r>
        <w:rPr>
          <w:rFonts w:ascii="Arial" w:hAnsi="Arial" w:cs="Arial"/>
          <w:sz w:val="24"/>
          <w:sz-cs w:val="24"/>
        </w:rPr>
        <w:t xml:space="preserve">In response to the growing awareness of the need to visualize our ESG impact, Unison has been experimenting with how best to communicate the social value we create to our investors. In the past two sustainability reports, we have reported on our joint development of ESG assessment and dashboard functions with RIMM Sustainability (RIMM) and our participation in the ESG Data Convergence Initiative (EDCI), which was launched last year. JPEA’s ESG Committee has also launched a project to collect ESG data on portfolio companies from GPs operating in Japan. For the inaugural year of this project, data collection has focused on job creation and DEI indicators, and Unison, as a member of the committee, is working to visualize ESG data for the industry as a whole. This has resulted in three main pillars for capturing portfolio company ESG data: (1) joint development with RIMM, (2) participation in EDCI, and (3) provision of data to JPEA.</w:t>
      </w:r>
    </w:p>
    <w:p>
      <w:pPr/>
      <w:r>
        <w:rPr>
          <w:rFonts w:ascii="Arial" w:hAnsi="Arial" w:cs="Arial"/>
          <w:sz w:val="24"/>
          <w:sz-cs w:val="24"/>
        </w:rPr>
        <w:t xml:space="preserve"/>
      </w:r>
    </w:p>
    <w:p>
      <w:pPr/>
      <w:r>
        <w:rPr>
          <w:rFonts w:ascii="Arial" w:hAnsi="Arial" w:cs="Arial"/>
          <w:sz w:val="24"/>
          <w:sz-cs w:val="24"/>
        </w:rPr>
        <w:t xml:space="preserve">With regard to RIMM, Unison has been involved in its development as a service from the prototype stage, and in 2022 we took a major step forward by rolling out assessments to all our portfolio companies. Based on the results of the assessment and feedback from RIMM, we now understand the current status of each company and are working to design next steps to ensure future progress. We are proud of the results of this multi-year project, from identifying materiality for each portfolio company’s relevant industry, obtaining feedback based on competitor benchmarking, and providing a certain level of guidance as a GP on the measures that each company should take.</w:t>
      </w:r>
    </w:p>
    <w:p>
      <w:pPr/>
      <w:r>
        <w:rPr>
          <w:rFonts w:ascii="Arial" w:hAnsi="Arial" w:cs="Arial"/>
          <w:sz w:val="24"/>
          <w:sz-cs w:val="24"/>
        </w:rPr>
        <w:t xml:space="preserve"/>
      </w:r>
    </w:p>
    <w:p>
      <w:pPr/>
      <w:r>
        <w:rPr>
          <w:rFonts w:ascii="Arial" w:hAnsi="Arial" w:cs="Arial"/>
          <w:sz w:val="24"/>
          <w:sz-cs w:val="24"/>
        </w:rPr>
        <w:t xml:space="preserve">As we reported last year, global LPs and GPs engaged in EDCI began collaborating in 2021 to distribute and collect responses to frequent questions from GPs around the world. Below is a summary of the data collected from portfolio companies in 2022 in terms of “environment,” “DEI,” and “employees” respectively.</w:t>
      </w:r>
    </w:p>
    <w:p>
      <w:pPr/>
      <w:r>
        <w:rPr>
          <w:rFonts w:ascii="Arial" w:hAnsi="Arial" w:cs="Arial"/>
          <w:sz w:val="24"/>
          <w:sz-cs w:val="24"/>
        </w:rPr>
        <w:t xml:space="preserve"/>
      </w:r>
    </w:p>
    <w:p>
      <w:pPr/>
      <w:r>
        <w:rPr>
          <w:rFonts w:ascii="Arial" w:hAnsi="Arial" w:cs="Arial"/>
          <w:sz w:val="24"/>
          <w:sz-cs w:val="24"/>
        </w:rPr>
        <w:t xml:space="preserve">(Prepare and insert graph (1) in the Appendix)</w:t>
      </w:r>
    </w:p>
    <w:p>
      <w:pPr/>
      <w:r>
        <w:rPr>
          <w:rFonts w:ascii="Hiragino Sans" w:hAnsi="Hiragino Sans" w:cs="Hiragino Sans"/>
          <w:sz w:val="24"/>
          <w:sz-cs w:val="24"/>
        </w:rPr>
        <w:t xml:space="preserve">単位＝</w:t>
      </w:r>
      <w:r>
        <w:rPr>
          <w:rFonts w:ascii="Arial" w:hAnsi="Arial" w:cs="Arial"/>
          <w:sz w:val="24"/>
          <w:sz-cs w:val="24"/>
        </w:rPr>
        <w:t xml:space="preserve">Unit</w:t>
      </w:r>
    </w:p>
    <w:p>
      <w:pPr/>
      <w:r>
        <w:rPr>
          <w:rFonts w:ascii="Arial" w:hAnsi="Arial" w:cs="Arial"/>
          <w:sz w:val="24"/>
          <w:sz-cs w:val="24"/>
        </w:rPr>
        <w:t xml:space="preserve">With the Japanese government declaring Japan to be carbon neutral by 2050 and the Financial Services Agency requiring companies listed on the prime market to disclose the same level of information as the Task Force on Climate-related Financial Disclosures (“TCFD”) in their securities reports, the importance of measuring greenhouse gas (“GHG”) emissions is increasing regardless of industry sector. However, few of Unison's portfolio companies have any knowledge of their own emissions, posing a challenge to supporting their measurement practices. Unison introduced an external service to each company, enabling all invested companies to track Scope 1 (direct emissions from fuel combustion, etc.) and Scope 2 (indirect emissions from electricity supplied by other companies, etc.) emissions. Since the underlying emissions differ depending on the business model and presence of manufacturing sites, the measurement results will be incorporated into RIMM's assessment for benchmarking and setting future milestones based on relevant industry best practices. Two companies, All Hearts Company and Daytona International, were unable to accurately measure the electricity usage required for Scope 2 measurements due to a portion of their respective stores being located in commercial facilities, and this remains an issue for next year and beyond.</w:t>
      </w:r>
    </w:p>
    <w:p>
      <w:pPr/>
      <w:r>
        <w:rPr>
          <w:rFonts w:ascii="Arial" w:hAnsi="Arial" w:cs="Arial"/>
          <w:sz w:val="24"/>
          <w:sz-cs w:val="24"/>
        </w:rPr>
        <w:t xml:space="preserve"/>
      </w:r>
    </w:p>
    <w:p>
      <w:pPr/>
      <w:r>
        <w:rPr>
          <w:rFonts w:ascii="Arial" w:hAnsi="Arial" w:cs="Arial"/>
          <w:sz w:val="24"/>
          <w:sz-cs w:val="24"/>
        </w:rPr>
        <w:t xml:space="preserve">(Prepare and insert graph (2) in the Appendix)</w:t>
      </w:r>
    </w:p>
    <w:p>
      <w:pPr/>
      <w:r>
        <w:rPr>
          <w:rFonts w:ascii="Arial" w:hAnsi="Arial" w:cs="Arial"/>
          <w:sz w:val="24"/>
          <w:sz-cs w:val="24"/>
        </w:rPr>
        <w:t xml:space="preserve"/>
      </w:r>
    </w:p>
    <w:p>
      <w:pPr/>
      <w:r>
        <w:rPr>
          <w:rFonts w:ascii="Arial" w:hAnsi="Arial" w:cs="Arial"/>
          <w:sz w:val="24"/>
          <w:sz-cs w:val="24"/>
        </w:rPr>
        <w:t xml:space="preserve">Along with the issue of climate change, another issue of equal importance that is often discussed is the promotion of diversity across companies, especially at the executive and managerial levels. Currently, there are five Unison portfolio companies with female directors, and the average percentage of female directors across all portfolio companies is 11%, which still remains low compared to the government target of 30%. For the ratio of women in management positions, CHCP Home Nursing has over 50%, while Daytona and Sukesan have less than 5%. Creating an environment where women can continue to work even after life stage changes and an organization that recognizes the value in the diversity of its employees will improve the company’s organizational strength. These types of organizational changes can be encouraged by buyout investors, who exert governance and provide support with a medium- to long-term perspective. Many of our portfolio companies have reformed their personnel evaluation systems after Unison’ 's investment, and we will continue to provide support to promote DEI, including career education for employees.</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(Prepare and insert graph (3) in the Appendix)</w:t>
      </w:r>
    </w:p>
    <w:p>
      <w:pPr/>
      <w:r>
        <w:rPr>
          <w:rFonts w:ascii="Hiragino Sans" w:hAnsi="Hiragino Sans" w:cs="Hiragino Sans"/>
          <w:sz w:val="24"/>
          <w:sz-cs w:val="24"/>
        </w:rPr>
        <w:t xml:space="preserve">キャプチャ：</w:t>
      </w:r>
      <w:r>
        <w:rPr>
          <w:rFonts w:ascii="Arial" w:hAnsi="Arial" w:cs="Arial"/>
          <w:sz w:val="24"/>
          <w:sz-cs w:val="24"/>
        </w:rPr>
        <w:t xml:space="preserve">number and % of work-related accidents</w:t>
      </w:r>
    </w:p>
    <w:p>
      <w:pPr/>
      <w:r>
        <w:rPr>
          <w:rFonts w:ascii="Arial" w:hAnsi="Arial" w:cs="Arial"/>
          <w:sz w:val="24"/>
          <w:sz-cs w:val="24"/>
        </w:rPr>
        <w:t xml:space="preserve"/>
      </w:r>
    </w:p>
    <w:p>
      <w:pPr/>
      <w:r>
        <w:rPr>
          <w:rFonts w:ascii="Arial" w:hAnsi="Arial" w:cs="Arial"/>
          <w:sz w:val="24"/>
          <w:sz-cs w:val="24"/>
        </w:rPr>
        <w:t xml:space="preserve">A comparison of the number of work-related accidents among the companies in which CHCP has invested shows that CHCP Hospital Partners has by far the highest number and ratio (number of work-related accidents divided by number of employees). This is due to Kumagaya General Hospital, the only acute care hospital in the CHCP Group, having a high number of work-related accidents, with the highest number of cases involving contact with patient body fluids (e.g. contact with blood from various medical instruments). All Hearts Company is second in terms of most frequent workplace injuries due to bakery/confectionery machine-related injuries. Protecting the physical and mental health and safety of employees is the most immediate social responsibility of a company, and working to prevent accidents and reduce the number of work-related injuries is an ongoing challenge.</w:t>
      </w:r>
    </w:p>
    <w:p>
      <w:pPr/>
      <w:r>
        <w:rPr>
          <w:rFonts w:ascii="Arial" w:hAnsi="Arial" w:cs="Arial"/>
          <w:sz w:val="24"/>
          <w:sz-cs w:val="24"/>
        </w:rPr>
        <w:t xml:space="preserve"/>
      </w:r>
    </w:p>
    <w:p>
      <w:pPr/>
      <w:r>
        <w:rPr>
          <w:rFonts w:ascii="Arial" w:hAnsi="Arial" w:cs="Arial"/>
          <w:sz w:val="24"/>
          <w:sz-cs w:val="24"/>
        </w:rPr>
        <w:t xml:space="preserve">Unison will continue to accumulate ESG data to visualize the impact we have had during the investment period. We will leverage this visualized ESG data to raise awareness and potential solutions across Unison and our portfolio companies, with the aim to promote mutual learning and proactive initiatives, as seen with our Digitalization Initiative. Unison will also continue to actively support data disclosure by its portfolio companies in order to encourage further progress in this area.</w:t>
      </w:r>
    </w:p>
    <w:p>
      <w:pPr/>
      <w:r>
        <w:rPr>
          <w:rFonts w:ascii="Arial" w:hAnsi="Arial" w:cs="Arial"/>
          <w:sz w:val="24"/>
          <w:sz-cs w:val="24"/>
        </w:rPr>
        <w:t xml:space="preserve"/>
        <w:br w:type="page"/>
        <w:t xml:space="preserve"/>
      </w:r>
    </w:p>
    <w:p>
      <w:pPr/>
      <w:r>
        <w:rPr>
          <w:rFonts w:ascii="Arial" w:hAnsi="Arial" w:cs="Arial"/>
          <w:sz w:val="24"/>
          <w:sz-cs w:val="24"/>
          <w:b/>
        </w:rPr>
        <w:t xml:space="preserve">Afterword</w:t>
      </w:r>
    </w:p>
    <w:p>
      <w:pPr/>
      <w:r>
        <w:rPr>
          <w:rFonts w:ascii="Arial" w:hAnsi="Arial" w:cs="Arial"/>
          <w:sz w:val="24"/>
          <w:sz-cs w:val="24"/>
        </w:rPr>
        <w:t xml:space="preserve">Thank you for taking the time to read our third Unison Sustainability Report. Each year we are excited to share with you our progress on this initiative, and we are encouraged by the comments we receive from time to time that the contents are being well received.</w:t>
      </w:r>
    </w:p>
    <w:p>
      <w:pPr/>
      <w:r>
        <w:rPr>
          <w:rFonts w:ascii="Arial" w:hAnsi="Arial" w:cs="Arial"/>
          <w:sz w:val="24"/>
          <w:sz-cs w:val="24"/>
        </w:rPr>
        <w:t xml:space="preserve"/>
      </w:r>
    </w:p>
    <w:p>
      <w:pPr/>
      <w:r>
        <w:rPr>
          <w:rFonts w:ascii="Arial" w:hAnsi="Arial" w:cs="Arial"/>
          <w:sz w:val="24"/>
          <w:sz-cs w:val="24"/>
        </w:rPr>
        <w:t xml:space="preserve">This report focused on three special features. Two of these features highlight how Unison's portfolio companies are addressing the changing population dynamics in Japan, including Yuko Yuko’s work to engage and revitalize local communities as well as Kids Corporation’s support of dual-income households. The aging of Japan's population is not solely a negative phenomenon. It is essential for Japan's future development that healthy seniors continue to participate in society and engage in the economy. Kids Corporation, on the other hand, is working to play a key role in stemming the declining birthrate by supporting dual-income families. Continued social and economic development cannot be expected under the current situation, in which one of the spouses withdraws from the labor force to raise children or continues to work while carrying an excessive burden as a married couple with children. With dual income households increasingly becoming the norm, Unison will continue to support Kids Corporation's business expansion and efforts to increase the number of couples with children.</w:t>
      </w:r>
    </w:p>
    <w:p>
      <w:pPr/>
      <w:r>
        <w:rPr>
          <w:rFonts w:ascii="Arial" w:hAnsi="Arial" w:cs="Arial"/>
          <w:sz w:val="24"/>
          <w:sz-cs w:val="24"/>
        </w:rPr>
        <w:t xml:space="preserve"/>
      </w:r>
    </w:p>
    <w:p>
      <w:pPr/>
      <w:r>
        <w:rPr>
          <w:rFonts w:ascii="Arial" w:hAnsi="Arial" w:cs="Arial"/>
          <w:sz w:val="24"/>
          <w:sz-cs w:val="24"/>
        </w:rPr>
        <w:t xml:space="preserve">With investors often asking if we can quantitatively demonstrate Unison’s portfolio ESG activities, we have spent the past year collecting a variety of data from portfolio companies. However, when we started measuring GHG emissions, we made several discoveries, such as the fact that we could not determine the exact amount of electricity used at many stores located in commercial facilities, or the extent emissions were directly or indirectly related to the portfolio company. Each time this happened, I was painfully aware that I still had much to learn and was reminded once again that if I am going to ask a portfolio company to disclose data, I must also continue to expand my understanding to better promote the change and social impact we can help make as private equity investors.</w:t>
      </w:r>
    </w:p>
    <w:p>
      <w:pPr/>
      <w:r>
        <w:rPr>
          <w:rFonts w:ascii="Arial" w:hAnsi="Arial" w:cs="Arial"/>
          <w:sz w:val="24"/>
          <w:sz-cs w:val="24"/>
        </w:rPr>
        <w:t xml:space="preserve"/>
      </w:r>
    </w:p>
    <w:p>
      <w:pPr/>
      <w:r>
        <w:rPr>
          <w:rFonts w:ascii="Arial" w:hAnsi="Arial" w:cs="Arial"/>
          <w:sz w:val="24"/>
          <w:sz-cs w:val="24"/>
        </w:rPr>
        <w:t xml:space="preserve">I sincerely hope you enjoyed this report and cordially welcome any feedback or comments.</w:t>
      </w:r>
    </w:p>
    <w:p>
      <w:pPr/>
      <w:r>
        <w:rPr>
          <w:rFonts w:ascii="Arial" w:hAnsi="Arial" w:cs="Arial"/>
          <w:sz w:val="24"/>
          <w:sz-cs w:val="24"/>
        </w:rPr>
        <w:t xml:space="preserve"/>
      </w:r>
    </w:p>
    <w:p>
      <w:pPr>
        <w:jc w:val="right"/>
      </w:pPr>
      <w:r>
        <w:rPr>
          <w:rFonts w:ascii="Arial" w:hAnsi="Arial" w:cs="Arial"/>
          <w:sz w:val="24"/>
          <w:sz-cs w:val="24"/>
        </w:rPr>
        <w:t xml:space="preserve">Eri Kawana, Editor</w:t>
      </w:r>
    </w:p>
    <w:p>
      <w:pPr/>
      <w:r>
        <w:rPr>
          <w:rFonts w:ascii="Arial" w:hAnsi="Arial" w:cs="Arial"/>
          <w:sz w:val="24"/>
          <w:sz-cs w:val="24"/>
        </w:rPr>
        <w:t xml:space="preserve"/>
      </w:r>
    </w:p>
    <w:p>
      <w:pPr/>
      <w:r>
        <w:rPr>
          <w:rFonts w:ascii="Arial" w:hAnsi="Arial" w:cs="Arial"/>
          <w:sz w:val="24"/>
          <w:sz-cs w:val="24"/>
        </w:rPr>
        <w:t xml:space="preserve"/>
      </w:r>
    </w:p>
    <w:sectPr>
      <w:pgSz w:w="11900" w:h="16840"/>
      <w:pgMar w:top="1985" w:right="1701" w:bottom="1701"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