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Times" w:hAnsi="Times" w:cs="Times"/>
          <w:sz w:val="24"/>
          <w:sz-cs w:val="24"/>
        </w:rPr>
        <w:t xml:space="preserve"/>
      </w:r>
    </w:p>
    <w:p>
      <w:pPr/>
      <w:r>
        <w:rPr>
          <w:rFonts w:ascii="Times" w:hAnsi="Times" w:cs="Times"/>
          <w:sz w:val="24"/>
          <w:sz-cs w:val="24"/>
        </w:rPr>
        <w:t xml:space="preserve">To our valued investors,</w:t>
      </w:r>
    </w:p>
    <w:p>
      <w:pPr/>
      <w:r>
        <w:rPr>
          <w:rFonts w:ascii="Times" w:hAnsi="Times" w:cs="Times"/>
          <w:sz w:val="24"/>
          <w:sz-cs w:val="24"/>
        </w:rPr>
        <w:t xml:space="preserve"/>
      </w:r>
    </w:p>
    <w:p>
      <w:pPr/>
      <w:r>
        <w:rPr>
          <w:rFonts w:ascii="Times" w:hAnsi="Times" w:cs="Times"/>
          <w:sz w:val="24"/>
          <w:sz-cs w:val="24"/>
        </w:rPr>
        <w:t xml:space="preserve">We are pleased to hereby present this year’s Sustainability Report, our fourth edition.</w:t>
      </w:r>
    </w:p>
    <w:p>
      <w:pPr/>
      <w:r>
        <w:rPr>
          <w:rFonts w:ascii="Times" w:hAnsi="Times" w:cs="Times"/>
          <w:sz w:val="24"/>
          <w:sz-cs w:val="24"/>
        </w:rPr>
        <w:t xml:space="preserve"/>
      </w:r>
    </w:p>
    <w:p>
      <w:pPr/>
      <w:r>
        <w:rPr>
          <w:rFonts w:ascii="Times" w:hAnsi="Times" w:cs="Times"/>
          <w:sz w:val="24"/>
          <w:sz-cs w:val="24"/>
        </w:rPr>
        <w:t xml:space="preserve">In this issue, we look back at Unisson's journey so far. Steered by our Guiding Principle of making an impact on the business community through investment, we have steadily worked toward and achieved quantification and external sharing of our impact.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This year's report features two case studies in the consumer goods sector, where sustainability initiatives are now evaluated by consumers themselves and we believe that positive changes in the investment period directly contribute to increased corporate value. The first of these discusses Pyuru’s concrete commitments toward net-zero emissions and the system they have established, five years after our investment, enabling them to continue these initiatives independently even after Unison's exit. The second details our commitment to driving positive environmental change in the apparel industry, known for its significant impact in this area.</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Unison has launched a long-planned direct impact investing strategy, alongside our initiatives to apply ESG in private equity. As we introduced in last year’s Sustainability Report, our first project as part of this strategy is a waste recycling and alternative fuels project in India. We are also planning to launch a fund in this sector and make more impact investments.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 further highlight of the past year was PRI in Person, held in Tokyo for the first time last October. The Japan Private Equity Association (JPEA) organized a side event to showcase the initiatives of Japanese GPs. This event was co-hosted with Initiative Climat International and provided valuable insights into leading GPs’ efforts to reduce greenhouse gas (GHG) emissions. We believe that private equity funds can drive positive change in portfolio companies, and that we should take this responsibility seriously.</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As always, we warmly welcome any comments, suggestions, or feedback from our readers.</w:t>
      </w:r>
    </w:p>
    <w:p>
      <w:pPr/>
      <w:r>
        <w:rPr>
          <w:rFonts w:ascii="Times" w:hAnsi="Times" w:cs="Times"/>
          <w:sz w:val="24"/>
          <w:sz-cs w:val="24"/>
        </w:rPr>
        <w:t xml:space="preserve"/>
      </w:r>
    </w:p>
    <w:p>
      <w:pPr/>
      <w:r>
        <w:rPr>
          <w:rFonts w:ascii="Times" w:hAnsi="Times" w:cs="Times"/>
          <w:sz w:val="24"/>
          <w:sz-cs w:val="24"/>
        </w:rPr>
        <w:t xml:space="preserve"/>
      </w:r>
    </w:p>
    <w:p>
      <w:pPr>
        <w:jc w:val="right"/>
      </w:pPr>
      <w:r>
        <w:rPr>
          <w:rFonts w:ascii="Times" w:hAnsi="Times" w:cs="Times"/>
          <w:sz w:val="24"/>
          <w:sz-cs w:val="24"/>
        </w:rPr>
        <w:t xml:space="preserve">Junko Katayanagi</w:t>
      </w:r>
    </w:p>
    <w:p>
      <w:pPr>
        <w:jc w:val="right"/>
      </w:pPr>
      <w:r>
        <w:rPr>
          <w:rFonts w:ascii="Times" w:hAnsi="Times" w:cs="Times"/>
          <w:sz w:val="24"/>
          <w:sz-cs w:val="24"/>
        </w:rPr>
        <w:t xml:space="preserve">Partner</w:t>
      </w:r>
    </w:p>
    <w:p>
      <w:pPr>
        <w:jc w:val="right"/>
      </w:pPr>
      <w:r>
        <w:rPr>
          <w:rFonts w:ascii="Times" w:hAnsi="Times" w:cs="Times"/>
          <w:sz w:val="24"/>
          <w:sz-cs w:val="24"/>
        </w:rPr>
        <w:t xml:space="preserve"/>
      </w:r>
    </w:p>
    <w:p>
      <w:pPr/>
      <w:r>
        <w:rPr>
          <w:rFonts w:ascii="Times" w:hAnsi="Times" w:cs="Times"/>
          <w:sz w:val="24"/>
          <w:sz-cs w:val="24"/>
          <w:u w:val="single"/>
        </w:rPr>
        <w:t xml:space="preserve"/>
        <w:br w:type="page"/>
        <w:t xml:space="preserve"/>
      </w:r>
    </w:p>
    <w:p>
      <w:pPr/>
      <w:r>
        <w:rPr>
          <w:rFonts w:ascii="Times" w:hAnsi="Times" w:cs="Times"/>
          <w:sz w:val="24"/>
          <w:sz-cs w:val="24"/>
          <w:u w:val="single"/>
        </w:rPr>
        <w:t xml:space="preserve">Unison’s Approach to ESG</w:t>
      </w:r>
    </w:p>
    <w:p>
      <w:pPr/>
      <w:r>
        <w:rPr>
          <w:rFonts w:ascii="Times" w:hAnsi="Times" w:cs="Times"/>
          <w:sz w:val="24"/>
          <w:sz-cs w:val="24"/>
          <w:u w:val="single"/>
        </w:rPr>
        <w:t xml:space="preserve"/>
      </w:r>
    </w:p>
    <w:p>
      <w:pPr/>
      <w:r>
        <w:rPr>
          <w:rFonts w:ascii="Times" w:hAnsi="Times" w:cs="Times"/>
          <w:sz w:val="24"/>
          <w:sz-cs w:val="24"/>
        </w:rPr>
        <w:t xml:space="preserve">As stated in the Guiding Principles which embody the underlying philosophy serving as the core of our work as investors, Unison has strived to create social impact from its investment activities since its inception (excerpt from Guiding Principles below).  </w:t>
      </w:r>
    </w:p>
    <w:p>
      <w:pPr/>
      <w:r>
        <w:rPr>
          <w:rFonts w:ascii="Times" w:hAnsi="Times" w:cs="Times"/>
          <w:sz w:val="24"/>
          <w:sz-cs w:val="24"/>
        </w:rPr>
        <w:t xml:space="preserve"/>
      </w:r>
    </w:p>
    <w:p>
      <w:pPr/>
      <w:r>
        <w:rPr>
          <w:rFonts w:ascii="Times" w:hAnsi="Times" w:cs="Times"/>
          <w:sz w:val="24"/>
          <w:sz-cs w:val="24"/>
          <w:i/>
        </w:rPr>
        <w:t xml:space="preserve">While we rigorously pursue profitable opportunities, we aim to make an impact on the business community we are involved in.</w:t>
      </w:r>
    </w:p>
    <w:p>
      <w:pPr/>
      <w:r>
        <w:rPr>
          <w:rFonts w:ascii="Times" w:hAnsi="Times" w:cs="Times"/>
          <w:sz w:val="24"/>
          <w:sz-cs w:val="24"/>
          <w:i/>
        </w:rPr>
        <w:t xml:space="preserve">We seek to create business transactions which have value not only to ourselves but also to society.</w:t>
      </w:r>
    </w:p>
    <w:p>
      <w:pPr/>
      <w:r>
        <w:rPr>
          <w:rFonts w:ascii="Times" w:hAnsi="Times" w:cs="Times"/>
          <w:sz w:val="24"/>
          <w:sz-cs w:val="24"/>
          <w:i/>
        </w:rPr>
        <w:t xml:space="preserve"/>
      </w:r>
    </w:p>
    <w:p>
      <w:pPr/>
      <w:r>
        <w:rPr>
          <w:rFonts w:ascii="Times" w:hAnsi="Times" w:cs="Times"/>
          <w:sz w:val="24"/>
          <w:sz-cs w:val="24"/>
        </w:rPr>
        <w:t xml:space="preserve">Based on the belief that improvements related to both the working environments and employee motivation within our portfolio companies ultimately drive value over the long-term, we have been undertaking such initiatives since Fund I. In response to growing awareness toward ESG in the private equity industry, we established ESG policy in 2016, became a PRI signatory in 2017, and have reorganized our investment activities and reporting to comply with PRI standards since. In 2020, we formulated Unison’s unique ESG framework and started to roll it out to our portfolio companies. We are currently working on visualizing our impact, and in the future, we hope to quantitatively demonstrate that our ESG efforts are having a positive impact on investment returns.</w:t>
      </w:r>
    </w:p>
    <w:p>
      <w:pPr/>
      <w:r>
        <w:rPr>
          <w:rFonts w:ascii="Times" w:hAnsi="Times" w:cs="Times"/>
          <w:sz w:val="24"/>
          <w:sz-cs w:val="24"/>
        </w:rPr>
        <w:t xml:space="preserve">It is our unwavering belief that control investments led by private equity funds provide the optimal governance structure to effectively pursue ESG initiatives. Given their influence on portfolio company management, the responsibility private equity investors bear toward achieving ESG goals outweighs that of public market investors. Particularly for small to mid-cap investment strategies like Unison’s, it is often the case that portfolio companies lack the organizational infrastructure and facilities needed to pursue growth, implying ESG goals are very much aligned with financial objectives. In addition, ESG initiatives significantly impact exit valuations as well, especially while considering a public market exit, or a trade sale to a public company. While ESG initiatives are still in their early stages in the Japanese private equity industry, Unison has participated in establishing the ESG Committee of the Japan Private Equity Association (JPEA). We actively plan various study sessions and conduct best practice sharing among GPs to advance ESG initiatives across the industry.</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1998</w:t>
        <w:tab/>
        <w:t xml:space="preserve">Unison Capital Founded</w:t>
      </w:r>
    </w:p>
    <w:p>
      <w:pPr/>
      <w:r>
        <w:rPr>
          <w:rFonts w:ascii="Times" w:hAnsi="Times" w:cs="Times"/>
          <w:sz w:val="24"/>
          <w:sz-cs w:val="24"/>
        </w:rPr>
        <w:t xml:space="preserve">Establishment of Guiding Principles</w:t>
      </w:r>
    </w:p>
    <w:p>
      <w:pPr/>
      <w:r>
        <w:rPr>
          <w:rFonts w:ascii="Times" w:hAnsi="Times" w:cs="Times"/>
          <w:sz w:val="24"/>
          <w:sz-cs w:val="24"/>
        </w:rPr>
        <w:t xml:space="preserve">1999</w:t>
        <w:tab/>
        <w:t xml:space="preserve">Establishment of Fund I</w:t>
      </w:r>
    </w:p>
    <w:p>
      <w:pPr/>
      <w:r>
        <w:rPr>
          <w:rFonts w:ascii="Times" w:hAnsi="Times" w:cs="Times"/>
          <w:sz w:val="24"/>
          <w:sz-cs w:val="24"/>
        </w:rPr>
        <w:t xml:space="preserve">2004</w:t>
        <w:tab/>
        <w:t xml:space="preserve">Establishment of Fund II</w:t>
      </w:r>
    </w:p>
    <w:p>
      <w:pPr/>
      <w:r>
        <w:rPr>
          <w:rFonts w:ascii="Times" w:hAnsi="Times" w:cs="Times"/>
          <w:sz w:val="24"/>
          <w:sz-cs w:val="24"/>
        </w:rPr>
        <w:t xml:space="preserve">2007</w:t>
        <w:tab/>
        <w:t xml:space="preserve">Establishment of a co-investment fund</w:t>
      </w:r>
    </w:p>
    <w:p>
      <w:pPr/>
      <w:r>
        <w:rPr>
          <w:rFonts w:ascii="Times" w:hAnsi="Times" w:cs="Times"/>
          <w:sz w:val="24"/>
          <w:sz-cs w:val="24"/>
        </w:rPr>
        <w:t xml:space="preserve">2009</w:t>
        <w:tab/>
        <w:t xml:space="preserve">Establishment of Fund III</w:t>
      </w:r>
    </w:p>
    <w:p>
      <w:pPr/>
      <w:r>
        <w:rPr>
          <w:rFonts w:ascii="Times" w:hAnsi="Times" w:cs="Times"/>
          <w:sz w:val="24"/>
          <w:sz-cs w:val="24"/>
        </w:rPr>
        <w:t xml:space="preserve">2015</w:t>
        <w:tab/>
        <w:t xml:space="preserve">Establishment of Fund IV</w:t>
      </w:r>
    </w:p>
    <w:p>
      <w:pPr/>
      <w:r>
        <w:rPr>
          <w:rFonts w:ascii="Times" w:hAnsi="Times" w:cs="Times"/>
          <w:sz w:val="24"/>
          <w:sz-cs w:val="24"/>
        </w:rPr>
        <w:t xml:space="preserve">2016</w:t>
        <w:tab/>
        <w:t xml:space="preserve">Establishment of ESG Policies</w:t>
      </w:r>
    </w:p>
    <w:p>
      <w:pPr/>
      <w:r>
        <w:rPr>
          <w:rFonts w:ascii="Times" w:hAnsi="Times" w:cs="Times"/>
          <w:sz w:val="24"/>
          <w:sz-cs w:val="24"/>
        </w:rPr>
        <w:t xml:space="preserve">2017</w:t>
        <w:tab/>
        <w:t xml:space="preserve">Signing the Principles for Responsible Investment (PRI)</w:t>
      </w:r>
    </w:p>
    <w:p>
      <w:pPr/>
      <w:r>
        <w:rPr>
          <w:rFonts w:ascii="Times" w:hAnsi="Times" w:cs="Times"/>
          <w:sz w:val="24"/>
          <w:sz-cs w:val="24"/>
        </w:rPr>
        <w:t xml:space="preserve">2020</w:t>
        <w:tab/>
        <w:t xml:space="preserve">Establishment of a two-stage CDE framework and deployment at portfolio companies</w:t>
      </w:r>
    </w:p>
    <w:p>
      <w:pPr/>
      <w:r>
        <w:rPr>
          <w:rFonts w:ascii="Times" w:hAnsi="Times" w:cs="Times"/>
          <w:sz w:val="24"/>
          <w:sz-cs w:val="24"/>
        </w:rPr>
        <w:t xml:space="preserve">Start of co-development with Rimm Sustainability</w:t>
        <w:br/>
        <w:t xml:space="preserve">2021</w:t>
        <w:tab/>
        <w:t xml:space="preserve">Establishment of Fund V</w:t>
      </w:r>
    </w:p>
    <w:p>
      <w:pPr/>
      <w:r>
        <w:rPr>
          <w:rFonts w:ascii="Times" w:hAnsi="Times" w:cs="Times"/>
          <w:sz w:val="24"/>
          <w:sz-cs w:val="24"/>
        </w:rPr>
        <w:t xml:space="preserve">2022</w:t>
        <w:tab/>
        <w:t xml:space="preserve">Establishment of the UC Healthcare Provider Co-Investment Fund</w:t>
      </w:r>
    </w:p>
    <w:p>
      <w:pPr/>
      <w:r>
        <w:rPr>
          <w:rFonts w:ascii="Times" w:hAnsi="Times" w:cs="Times"/>
          <w:sz w:val="24"/>
          <w:sz-cs w:val="24"/>
        </w:rPr>
        <w:t xml:space="preserve">Participation in the ESG Data Convergence Initiative (EDCI)</w:t>
        <w:br/>
        <w:t xml:space="preserve">2023</w:t>
        <w:tab/>
        <w:t xml:space="preserve">Start of GHG emissions measurement at all portfolio companies</w:t>
      </w:r>
    </w:p>
    <w:p>
      <w:pPr/>
      <w:r>
        <w:rPr>
          <w:rFonts w:ascii="Times" w:hAnsi="Times" w:cs="Times"/>
          <w:sz w:val="24"/>
          <w:sz-cs w:val="24"/>
        </w:rPr>
        <w:t xml:space="preserve"/>
      </w:r>
    </w:p>
    <w:p>
      <w:pPr/>
      <w:r>
        <w:rPr>
          <w:rFonts w:ascii="Times" w:hAnsi="Times" w:cs="Times"/>
          <w:sz w:val="24"/>
          <w:sz-cs w:val="24"/>
          <w:u w:val="single"/>
        </w:rPr>
        <w:t xml:space="preserve"/>
        <w:br w:type="page"/>
        <w:t xml:space="preserve"/>
      </w:r>
    </w:p>
    <w:p>
      <w:pPr/>
      <w:r>
        <w:rPr>
          <w:rFonts w:ascii="Times" w:hAnsi="Times" w:cs="Times"/>
          <w:sz w:val="24"/>
          <w:sz-cs w:val="24"/>
          <w:u w:val="single"/>
        </w:rPr>
        <w:t xml:space="preserve">Two-Stage “CDE” Framework and Monitoring Approach</w:t>
      </w:r>
    </w:p>
    <w:p>
      <w:pPr/>
      <w:r>
        <w:rPr>
          <w:rFonts w:ascii="Times" w:hAnsi="Times" w:cs="Times"/>
          <w:sz w:val="24"/>
          <w:sz-cs w:val="24"/>
          <w:u w:val="single"/>
        </w:rPr>
        <w:t xml:space="preserve"/>
      </w:r>
    </w:p>
    <w:p>
      <w:pPr/>
      <w:r>
        <w:rPr>
          <w:rFonts w:ascii="Times" w:hAnsi="Times" w:cs="Times"/>
          <w:sz w:val="24"/>
          <w:sz-cs w:val="24"/>
        </w:rPr>
        <w:t xml:space="preserve">Unison established the following two-stage “CDE” framework intended to best address ESG-related issues specific to small to mid-cap companies, which has been applied across our portfolio companies.</w:t>
      </w:r>
    </w:p>
    <w:p>
      <w:pPr/>
      <w:r>
        <w:rPr>
          <w:rFonts w:ascii="Times" w:hAnsi="Times" w:cs="Times"/>
          <w:sz w:val="24"/>
          <w:sz-cs w:val="24"/>
        </w:rPr>
        <w:t xml:space="preserve"/>
      </w:r>
    </w:p>
    <w:p>
      <w:pPr/>
      <w:r>
        <w:rPr>
          <w:rFonts w:ascii="Times" w:hAnsi="Times" w:cs="Times"/>
          <w:sz w:val="24"/>
          <w:sz-cs w:val="24"/>
        </w:rPr>
        <w:t xml:space="preserve">[Stage 1] Community, Diversity &amp; Empowerment</w:t>
      </w:r>
    </w:p>
    <w:p>
      <w:pPr/>
      <w:r>
        <w:rPr>
          <w:rFonts w:ascii="Times" w:hAnsi="Times" w:cs="Times"/>
          <w:sz w:val="24"/>
          <w:sz-cs w:val="24"/>
        </w:rPr>
        <w:t xml:space="preserve">- C: Contribution to local regional communities and customer communities which the company serves</w:t>
      </w:r>
    </w:p>
    <w:p>
      <w:pPr/>
      <w:r>
        <w:rPr>
          <w:rFonts w:ascii="Times" w:hAnsi="Times" w:cs="Times"/>
          <w:sz w:val="24"/>
          <w:sz-cs w:val="24"/>
        </w:rPr>
        <w:t xml:space="preserve">- D: Diversity and inclusion (female representation in management positions, board diversity)</w:t>
      </w:r>
    </w:p>
    <w:p>
      <w:pPr/>
      <w:r>
        <w:rPr>
          <w:rFonts w:ascii="Times" w:hAnsi="Times" w:cs="Times"/>
          <w:sz w:val="24"/>
          <w:sz-cs w:val="24"/>
        </w:rPr>
        <w:t xml:space="preserve">- E: Improvement of working environments (fairness in evaluation and compensation, empowerment of employees through transparent communication and sharing of information) </w:t>
      </w:r>
    </w:p>
    <w:p>
      <w:pPr/>
      <w:r>
        <w:rPr>
          <w:rFonts w:ascii="Times" w:hAnsi="Times" w:cs="Times"/>
          <w:sz w:val="24"/>
          <w:sz-cs w:val="24"/>
        </w:rPr>
        <w:t xml:space="preserve"/>
      </w:r>
    </w:p>
    <w:p>
      <w:pPr/>
      <w:r>
        <w:rPr>
          <w:rFonts w:ascii="Times" w:hAnsi="Times" w:cs="Times"/>
          <w:sz w:val="24"/>
          <w:sz-cs w:val="24"/>
        </w:rPr>
        <w:t xml:space="preserve">[Stage 2] Carbon, Disposables &amp; Energy</w:t>
      </w:r>
    </w:p>
    <w:p>
      <w:pPr/>
      <w:r>
        <w:rPr>
          <w:rFonts w:ascii="Times" w:hAnsi="Times" w:cs="Times"/>
          <w:sz w:val="24"/>
          <w:sz-cs w:val="24"/>
        </w:rPr>
        <w:t xml:space="preserve">- C: Reduction of carbon emissions</w:t>
      </w:r>
    </w:p>
    <w:p>
      <w:pPr/>
      <w:r>
        <w:rPr>
          <w:rFonts w:ascii="Times" w:hAnsi="Times" w:cs="Times"/>
          <w:sz w:val="24"/>
          <w:sz-cs w:val="24"/>
        </w:rPr>
        <w:t xml:space="preserve">- D: Reduction of plastic and other environmentally harmful materials  </w:t>
      </w:r>
    </w:p>
    <w:p>
      <w:pPr/>
      <w:r>
        <w:rPr>
          <w:rFonts w:ascii="Times" w:hAnsi="Times" w:cs="Times"/>
          <w:sz w:val="24"/>
          <w:sz-cs w:val="24"/>
        </w:rPr>
        <w:t xml:space="preserve">- E: Improvement in efficiency of water and energy consumption; active utilization of renewable energy</w:t>
      </w:r>
    </w:p>
    <w:p>
      <w:pPr/>
      <w:r>
        <w:rPr>
          <w:rFonts w:ascii="Times" w:hAnsi="Times" w:cs="Times"/>
          <w:sz w:val="24"/>
          <w:sz-cs w:val="24"/>
        </w:rPr>
        <w:t xml:space="preserve"/>
      </w:r>
    </w:p>
    <w:p>
      <w:pPr/>
      <w:r>
        <w:rPr>
          <w:rFonts w:ascii="Times" w:hAnsi="Times" w:cs="Times"/>
          <w:sz w:val="24"/>
          <w:sz-cs w:val="24"/>
        </w:rPr>
        <w:t xml:space="preserve">[</w:t>
      </w:r>
      <w:r>
        <w:rPr>
          <w:rFonts w:ascii="Hiragino Mincho ProN" w:hAnsi="Hiragino Mincho ProN" w:cs="Hiragino Mincho ProN"/>
          <w:sz w:val="24"/>
          <w:sz-cs w:val="24"/>
        </w:rPr>
        <w:t xml:space="preserve">図中</w:t>
      </w:r>
      <w:r>
        <w:rPr>
          <w:rFonts w:ascii="Times" w:hAnsi="Times" w:cs="Times"/>
          <w:sz w:val="24"/>
          <w:sz-cs w:val="24"/>
        </w:rPr>
        <w:t xml:space="preserve">]</w:t>
      </w:r>
    </w:p>
    <w:p>
      <w:pPr/>
      <w:r>
        <w:rPr>
          <w:rFonts w:ascii="Times" w:hAnsi="Times" w:cs="Times"/>
          <w:sz w:val="24"/>
          <w:sz-cs w:val="24"/>
        </w:rPr>
        <w:t xml:space="preserve">Two-Stage “CDE” Framework</w:t>
      </w:r>
    </w:p>
    <w:p>
      <w:pPr/>
      <w:r>
        <w:rPr>
          <w:rFonts w:ascii="Times" w:hAnsi="Times" w:cs="Times"/>
          <w:sz w:val="24"/>
          <w:sz-cs w:val="24"/>
        </w:rPr>
        <w:t xml:space="preserve"/>
      </w:r>
    </w:p>
    <w:p>
      <w:pPr/>
      <w:r>
        <w:rPr>
          <w:rFonts w:ascii="Times" w:hAnsi="Times" w:cs="Times"/>
          <w:sz w:val="24"/>
          <w:sz-cs w:val="24"/>
        </w:rPr>
        <w:t xml:space="preserve">Making visible environmental improvements can be challenging for Unison's portfolio companies, which are mostly small to mid-cap. Under the above framework, we first work together with our portfolio companies to design Stage 1 initiatives, which are comparatively easy to tackle. By carrying out initiatives that directly contribute to talent acquisition and employee retention, management teams can observe tangible results and overcome psychological barriers to ESG engagement. Once they experience these initial successes, we proceed to designing Stage 2 initiatives, which focus on environmental impact.</w:t>
      </w:r>
    </w:p>
    <w:p>
      <w:pPr/>
      <w:r>
        <w:rPr>
          <w:rFonts w:ascii="Times" w:hAnsi="Times" w:cs="Times"/>
          <w:sz w:val="24"/>
          <w:sz-cs w:val="24"/>
        </w:rPr>
        <w:t xml:space="preserve"/>
      </w:r>
    </w:p>
    <w:p>
      <w:pPr/>
      <w:r>
        <w:rPr>
          <w:rFonts w:ascii="Times" w:hAnsi="Times" w:cs="Times"/>
          <w:sz w:val="24"/>
          <w:sz-cs w:val="24"/>
        </w:rPr>
        <w:t xml:space="preserve">For both Stage 1 and 2, specific initiatives to be implemented are tailored in accordance with each portfolio company’s mission statement, investment thesis, and capacity, among other factors. Furthermore, we set specific goals and targets in accordance with industry materialities and best practices. Lastly, these processes are incorporated within each portfolio company’s mid-term business plan and management evaluation process, in order to ensure alignment between Unison and each portfolio company’s management.</w:t>
      </w:r>
    </w:p>
    <w:p>
      <w:pPr/>
      <w:r>
        <w:rPr>
          <w:rFonts w:ascii="Times" w:hAnsi="Times" w:cs="Times"/>
          <w:sz w:val="24"/>
          <w:sz-cs w:val="24"/>
        </w:rPr>
        <w:t xml:space="preserve"/>
      </w:r>
    </w:p>
    <w:p>
      <w:pPr/>
      <w:r>
        <w:rPr>
          <w:rFonts w:ascii="Times" w:hAnsi="Times" w:cs="Times"/>
          <w:sz w:val="24"/>
          <w:sz-cs w:val="24"/>
          <w:u w:val="single"/>
        </w:rPr>
        <w:t xml:space="preserve"/>
        <w:br w:type="page"/>
        <w:t xml:space="preserve"/>
      </w:r>
    </w:p>
    <w:p>
      <w:pPr/>
      <w:r>
        <w:rPr>
          <w:rFonts w:ascii="Times" w:hAnsi="Times" w:cs="Times"/>
          <w:sz w:val="24"/>
          <w:sz-cs w:val="24"/>
          <w:u w:val="single"/>
        </w:rPr>
        <w:t xml:space="preserve">Visualization of Impact through Quantification</w:t>
      </w:r>
    </w:p>
    <w:p>
      <w:pPr/>
      <w:r>
        <w:rPr>
          <w:rFonts w:ascii="Times" w:hAnsi="Times" w:cs="Times"/>
          <w:sz w:val="24"/>
          <w:sz-cs w:val="24"/>
          <w:u w:val="single"/>
        </w:rPr>
        <w:t xml:space="preserve"/>
      </w:r>
    </w:p>
    <w:p>
      <w:pPr/>
      <w:r>
        <w:rPr>
          <w:rFonts w:ascii="Times" w:hAnsi="Times" w:cs="Times"/>
          <w:sz w:val="24"/>
          <w:sz-cs w:val="24"/>
        </w:rPr>
        <w:t xml:space="preserve">Unison quantifies and accumulates data on ESG initiatives through the following methods.</w:t>
      </w:r>
    </w:p>
    <w:p>
      <w:pP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Rimm Sustainability (“Rimm”)</w:t>
      </w:r>
    </w:p>
    <w:p>
      <w:pPr/>
      <w:r>
        <w:rPr>
          <w:rFonts w:ascii="Times" w:hAnsi="Times" w:cs="Times"/>
          <w:sz w:val="24"/>
          <w:sz-cs w:val="24"/>
        </w:rPr>
        <w:t xml:space="preserve">To visualize the ESG initiatives of our portfolio companies, Unison co-developed a platform for GPs with Rimm Sustainability.</w:t>
      </w:r>
    </w:p>
    <w:p>
      <w:pPr/>
      <w:r>
        <w:rPr>
          <w:rFonts w:ascii="Times" w:hAnsi="Times" w:cs="Times"/>
          <w:sz w:val="24"/>
          <w:sz-cs w:val="24"/>
        </w:rPr>
        <w:t xml:space="preserve"/>
      </w:r>
    </w:p>
    <w:p>
      <w:pPr/>
      <w:r>
        <w:rPr>
          <w:rFonts w:ascii="Times" w:hAnsi="Times" w:cs="Times"/>
          <w:sz w:val="24"/>
          <w:sz-cs w:val="24"/>
        </w:rPr>
        <w:t xml:space="preserve">Rimm's mission is to "make sustainability simple, accessible, authentic, fun and rewarding for companies of all sizes." Specifically, it provides a software platform service that visualizes, quantifies, and evaluates corporate sustainability initiatives in accordance with international standards such as the Global Reporting Initiative (GRI) and the Sustainability Accounting Standards Board (SASB).</w:t>
      </w:r>
    </w:p>
    <w:p>
      <w:pPr/>
      <w:r>
        <w:rPr>
          <w:rFonts w:ascii="Times" w:hAnsi="Times" w:cs="Times"/>
          <w:sz w:val="24"/>
          <w:sz-cs w:val="24"/>
        </w:rPr>
        <w:t xml:space="preserve"/>
      </w:r>
    </w:p>
    <w:p>
      <w:pPr/>
      <w:r>
        <w:rPr>
          <w:rFonts w:ascii="Times" w:hAnsi="Times" w:cs="Times"/>
          <w:sz w:val="24"/>
          <w:sz-cs w:val="24"/>
        </w:rPr>
        <w:t xml:space="preserve">Rimm's platform takes information on sustainability initiatives provided by the companies being evaluated and combines it with Rimm's database of global public and private company sustainability information. Using a proprietary algorithm, it visualizes the evaluated company's initiatives in the form of "Rimm scores" and "SDGs scores." It also provides feedback reports that highlight areas for improvement, along with case studies from industry peers, to encourage concrete action.</w:t>
      </w:r>
    </w:p>
    <w:p>
      <w:pPr/>
      <w:r>
        <w:rPr>
          <w:rFonts w:ascii="Times" w:hAnsi="Times" w:cs="Times"/>
          <w:sz w:val="24"/>
          <w:sz-cs w:val="24"/>
        </w:rPr>
        <w:t xml:space="preserve"/>
      </w:r>
    </w:p>
    <w:p>
      <w:pPr/>
      <w:r>
        <w:rPr>
          <w:rFonts w:ascii="Times" w:hAnsi="Times" w:cs="Times"/>
          <w:sz w:val="24"/>
          <w:sz-cs w:val="24"/>
        </w:rPr>
        <w:t xml:space="preserve">Each portfolio company answers a series of questions posed on the platform, and the GP dashboard allows for a side-by-side comparison of these responses with benchmark results from other companies. This helps to identify KPIs where efforts are lagging, delve deeper into the causes of any such issue, and encourage the adoption of best practices from other portfolio companies, thereby promoting initiatives across all investments.</w:t>
      </w:r>
    </w:p>
    <w:p>
      <w:pPr/>
      <w:r>
        <w:rPr>
          <w:rFonts w:ascii="Times" w:hAnsi="Times" w:cs="Times"/>
          <w:sz w:val="24"/>
          <w:sz-cs w:val="24"/>
        </w:rPr>
        <w:t xml:space="preserve"/>
      </w:r>
    </w:p>
    <w:p>
      <w:pPr/>
      <w:r>
        <w:rPr>
          <w:rFonts w:ascii="Times" w:hAnsi="Times" w:cs="Times"/>
          <w:sz w:val="24"/>
          <w:sz-cs w:val="24"/>
        </w:rPr>
        <w:t xml:space="preserve">In addition to Unison's unique two-stage “CDE” framework, third-party evaluation and industry benchmarking through Rimm's assessments have ensured that each portfolio company's ESG initiatives are relevant and aligned with the materiality considerations of their respective industries. Rimm's platform also supports the automatic creation of sustainability reports based on data accumulated over time, which can be utilized by portfolio companies planning IPOs or other external disclosures.</w:t>
      </w:r>
    </w:p>
    <w:p>
      <w:pP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ESG Data Convergence Initiative (“EDCI”)</w:t>
      </w:r>
    </w:p>
    <w:p>
      <w:pPr/>
      <w:r>
        <w:rPr>
          <w:rFonts w:ascii="Times" w:hAnsi="Times" w:cs="Times"/>
          <w:sz w:val="24"/>
          <w:sz-cs w:val="24"/>
        </w:rPr>
        <w:t xml:space="preserve">Unison is the first Japanese GP to participate in the ESG Data Convergence Initiative, under which we provide data annually.</w:t>
      </w:r>
    </w:p>
    <w:p>
      <w:pPr/>
      <w:r>
        <w:rPr>
          <w:rFonts w:ascii="Times" w:hAnsi="Times" w:cs="Times"/>
          <w:sz w:val="24"/>
          <w:sz-cs w:val="24"/>
        </w:rPr>
        <w:t xml:space="preserve"/>
      </w:r>
    </w:p>
    <w:p>
      <w:pPr/>
      <w:r>
        <w:rPr>
          <w:rFonts w:ascii="Times" w:hAnsi="Times" w:cs="Times"/>
          <w:sz w:val="24"/>
          <w:sz-cs w:val="24"/>
        </w:rPr>
        <w:t xml:space="preserve">The EDCI is a framework in which approximately 450 GPs and LPs, including major global PE firms and asset managers, collaborate to collect and report key ESG metrics in a standardized manner. It is the first PE industry-led initiative to standardize GP disclosure indicators and create a database that enables performance comparisons.</w:t>
      </w:r>
    </w:p>
    <w:p>
      <w:pPr/>
      <w:r>
        <w:rPr>
          <w:rFonts w:ascii="Times" w:hAnsi="Times" w:cs="Times"/>
          <w:sz w:val="24"/>
          <w:sz-cs w:val="24"/>
        </w:rPr>
        <w:t xml:space="preserve">Unison began measuring GHG emissions across all portfolio companies as we prepared to join the EDCI. While some companies with production facilities had already been measuring Scope 1 (direct) and Scope 2 (indirect) emissions, this was a new endeavor for most. We introduced those unable to calculate emissions in-house to external emissions measurement services able to collect and digitize data on direct and indirect emissions. The results of these measurement efforts have been and continue to be benchmarked against comparable figures on both the Rimm and EDCI platforms. However, concrete initiatives to reduce emissions are still in their early stages, and we need to expand our efforts to include Scope 3 emissions (emissions from all sources not covered by Scopes 1 and 2, and including those from supply chains) in the future.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The EDCI benchmarks collected data against comparable data for listed companies, revealing that while PE-backed companies tend to lag initially, the magnitude of improvement and change during the investment period surpasses that of listed companies. This demonstrates the power of PE funds, as control investors, to drive organizational change. The EDCI's ability to quantitatively showcase this impact and provide a standardized way to compare GP track records ensures transparency in ESG disclosures, where greenwashing is always a concern.</w:t>
      </w:r>
    </w:p>
    <w:p>
      <w:pPr/>
      <w:r>
        <w:rPr>
          <w:rFonts w:ascii="Times" w:hAnsi="Times" w:cs="Times"/>
          <w:sz w:val="24"/>
          <w:sz-cs w:val="24"/>
        </w:rPr>
        <w:t xml:space="preserve"/>
      </w:r>
    </w:p>
    <w:p>
      <w:pPr/>
      <w:r>
        <w:rPr>
          <w:rFonts w:ascii="Times" w:hAnsi="Times" w:cs="Times"/>
          <w:sz w:val="24"/>
          <w:sz-cs w:val="24"/>
        </w:rPr>
        <w:t xml:space="preserve">Our portfolio companies’ sustainability initiatives are not temporary endeavors; they require continuous improvement even after Unison exits its investments. We utilize quantification and benchmarking as a basis for ongoing discussions with the management of our portfolio companies, ensuring that their efforts are sustainable in the long term.</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w:t>
      </w:r>
      <w:r>
        <w:rPr>
          <w:rFonts w:ascii="Hiragino Mincho ProN" w:hAnsi="Hiragino Mincho ProN" w:cs="Hiragino Mincho ProN"/>
          <w:sz w:val="24"/>
          <w:sz-cs w:val="24"/>
        </w:rPr>
        <w:t xml:space="preserve">キャプチャ</w:t>
      </w:r>
      <w:r>
        <w:rPr>
          <w:rFonts w:ascii="Times" w:hAnsi="Times" w:cs="Times"/>
          <w:sz w:val="24"/>
          <w:sz-cs w:val="24"/>
        </w:rPr>
        <w:t xml:space="preserve">]</w:t>
      </w:r>
    </w:p>
    <w:p>
      <w:pPr/>
      <w:r>
        <w:rPr>
          <w:rFonts w:ascii="Times" w:hAnsi="Times" w:cs="Times"/>
          <w:sz w:val="24"/>
          <w:sz-cs w:val="24"/>
        </w:rPr>
        <w:t xml:space="preserve">Seven metrics EDCI tracks across E, S, and G</w:t>
      </w:r>
    </w:p>
    <w:p>
      <w:pPr/>
      <w:r>
        <w:rPr>
          <w:rFonts w:ascii="Times" w:hAnsi="Times" w:cs="Times"/>
          <w:sz w:val="24"/>
          <w:sz-cs w:val="24"/>
          <w:u w:val="single"/>
        </w:rPr>
        <w:t xml:space="preserve"/>
        <w:br w:type="page"/>
        <w:t xml:space="preserve"/>
      </w:r>
    </w:p>
    <w:p>
      <w:pPr/>
      <w:r>
        <w:rPr>
          <w:rFonts w:ascii="Times" w:hAnsi="Times" w:cs="Times"/>
          <w:sz w:val="24"/>
          <w:sz-cs w:val="24"/>
          <w:u w:val="single"/>
        </w:rPr>
        <w:t xml:space="preserve">ESG Initiatives in the Consumer Sector</w:t>
      </w:r>
    </w:p>
    <w:p>
      <w:pPr/>
      <w:r>
        <w:rPr>
          <w:rFonts w:ascii="Times" w:hAnsi="Times" w:cs="Times"/>
          <w:sz w:val="24"/>
          <w:sz-cs w:val="24"/>
          <w:u w:val="single"/>
        </w:rPr>
        <w:t xml:space="preserve"/>
      </w:r>
    </w:p>
    <w:p>
      <w:pPr/>
      <w:r>
        <w:rPr>
          <w:rFonts w:ascii="Times" w:hAnsi="Times" w:cs="Times"/>
          <w:sz w:val="24"/>
          <w:sz-cs w:val="24"/>
        </w:rPr>
        <w:t xml:space="preserve">Unison has invested in a variety of consumer goods and retail businesses since the establishment of Fund I. Our approach to supporting these portfolio companies and enhancing their value has always incorporated the foundations of our ESG philosophy.</w:t>
      </w:r>
    </w:p>
    <w:p>
      <w:pPr/>
      <w:r>
        <w:rPr>
          <w:rFonts w:ascii="Times" w:hAnsi="Times" w:cs="Times"/>
          <w:sz w:val="24"/>
          <w:sz-cs w:val="24"/>
        </w:rPr>
        <w:t xml:space="preserve"/>
      </w:r>
    </w:p>
    <w:p>
      <w:pPr/>
      <w:r>
        <w:rPr>
          <w:rFonts w:ascii="Times" w:hAnsi="Times" w:cs="Times"/>
          <w:sz w:val="24"/>
          <w:sz-cs w:val="24"/>
        </w:rPr>
        <w:t xml:space="preserve">For example, we supported Tohato, a long-standing confectionery manufacturer, through Japan's first “pre-packaged civil rehabilitation” process during the period of Fund I. As part of the company's restructuring, we created a brand book titled “Okashi wo Shigoto ni Dekiru Koufuku (The Joy of Working in Confectionary)” for its employees. This pop-up book aimed to convey the joy of making a profession of what you love and the meaning of working as a team, fostering a shared sense of purpose. The slogan "Let's become a team" coined by former professional soccer player Hidetoshi Nakata, who assumed the role of Chief Branding Officer, served as a pillar of support for the company during its organizational reform.</w:t>
      </w:r>
    </w:p>
    <w:p>
      <w:pPr/>
      <w:r>
        <w:rPr>
          <w:rFonts w:ascii="Times" w:hAnsi="Times" w:cs="Times"/>
          <w:sz w:val="24"/>
          <w:sz-cs w:val="24"/>
        </w:rPr>
        <w:t xml:space="preserve"/>
      </w:r>
    </w:p>
    <w:p>
      <w:pPr/>
      <w:r>
        <w:rPr>
          <w:rFonts w:ascii="Times" w:hAnsi="Times" w:cs="Times"/>
          <w:sz w:val="24"/>
          <w:sz-cs w:val="24"/>
        </w:rPr>
        <w:t xml:space="preserve">During the period of Fund II, we invested in Akindo Sushiro, which has achieved the highest customer satisfaction rating in the restaurant industry. During our investment period, the company grew from the third-largest to the top "kaiten-zushi" (conveyor belt sushi) chain in Japan. The foundation for this rapid growth was a reform in corporate culture, transforming the company’s management approach from top-down to bottom-up and thereby reinforcing the importance of frontline store operations. This management approach clearly demonstrated that the head office's role was to fully support frontline staff who interact with customers daily, rather than dictate from the top down. We implemented various improvements to company systems, including those for human resources and labor management.</w:t>
      </w:r>
    </w:p>
    <w:p>
      <w:pPr/>
      <w:r>
        <w:rPr>
          <w:rFonts w:ascii="Times" w:hAnsi="Times" w:cs="Times"/>
          <w:sz w:val="24"/>
          <w:sz-cs w:val="24"/>
        </w:rPr>
        <w:t xml:space="preserve"/>
      </w:r>
    </w:p>
    <w:p>
      <w:pPr/>
      <w:r>
        <w:rPr>
          <w:rFonts w:ascii="Times" w:hAnsi="Times" w:cs="Times"/>
          <w:sz w:val="24"/>
          <w:sz-cs w:val="24"/>
        </w:rPr>
        <w:t xml:space="preserve">The consumer sector is diverse, and each sub-sector has its own unique characteristics, so a "one-size-fits-all" approach does not work. While Unison currently measures and quantifies common ESG indicators across all its portfolio companies, in the consumer sector, we place particular emphasis on tailoring our ESG approach to the specific business type and needs of each company. In the following pages, we will introduce our collaborative approach with portfolio companies, using Pyuru and Daytona International as specific examples.</w:t>
      </w:r>
    </w:p>
    <w:p>
      <w:pPr/>
      <w:r>
        <w:rPr>
          <w:rFonts w:ascii="Times" w:hAnsi="Times" w:cs="Times"/>
          <w:sz w:val="24"/>
          <w:sz-cs w:val="24"/>
        </w:rPr>
        <w:t xml:space="preserve"/>
      </w:r>
    </w:p>
    <w:p>
      <w:pPr/>
      <w:r>
        <w:rPr>
          <w:rFonts w:ascii="Times" w:hAnsi="Times" w:cs="Times"/>
          <w:sz w:val="24"/>
          <w:sz-cs w:val="24"/>
        </w:rPr>
        <w:t xml:space="preserve">[</w:t>
      </w:r>
      <w:r>
        <w:rPr>
          <w:rFonts w:ascii="Hiragino Mincho ProN" w:hAnsi="Hiragino Mincho ProN" w:cs="Hiragino Mincho ProN"/>
          <w:sz w:val="24"/>
          <w:sz-cs w:val="24"/>
        </w:rPr>
        <w:t xml:space="preserve">図中</w:t>
      </w:r>
      <w:r>
        <w:rPr>
          <w:rFonts w:ascii="Times" w:hAnsi="Times" w:cs="Times"/>
          <w:sz w:val="24"/>
          <w:sz-cs w:val="24"/>
        </w:rPr>
        <w:t xml:space="preserve">]</w:t>
      </w:r>
    </w:p>
    <w:p>
      <w:pPr/>
      <w:r>
        <w:rPr>
          <w:rFonts w:ascii="Hiragino Mincho ProN" w:hAnsi="Hiragino Mincho ProN" w:cs="Hiragino Mincho ProN"/>
          <w:sz w:val="24"/>
          <w:sz-cs w:val="24"/>
        </w:rPr>
        <w:t xml:space="preserve">店舗：</w:t>
      </w:r>
      <w:r>
        <w:rPr>
          <w:rFonts w:ascii="Times" w:hAnsi="Times" w:cs="Times"/>
          <w:sz w:val="24"/>
          <w:sz-cs w:val="24"/>
        </w:rPr>
        <w:t xml:space="preserve">Frontline staff in local stores</w:t>
      </w:r>
    </w:p>
    <w:p>
      <w:pPr/>
      <w:r>
        <w:rPr>
          <w:rFonts w:ascii="Hiragino Mincho ProN" w:hAnsi="Hiragino Mincho ProN" w:cs="Hiragino Mincho ProN"/>
          <w:sz w:val="24"/>
          <w:sz-cs w:val="24"/>
        </w:rPr>
        <w:t xml:space="preserve">本社：</w:t>
      </w:r>
      <w:r>
        <w:rPr>
          <w:rFonts w:ascii="Times" w:hAnsi="Times" w:cs="Times"/>
          <w:sz w:val="24"/>
          <w:sz-cs w:val="24"/>
        </w:rPr>
        <w:t xml:space="preserve">Head office</w:t>
      </w:r>
    </w:p>
    <w:p>
      <w:pPr/>
      <w:r>
        <w:rPr>
          <w:rFonts w:ascii="Times" w:hAnsi="Times" w:cs="Times"/>
          <w:sz w:val="24"/>
          <w:sz-cs w:val="24"/>
          <w:u w:val="single"/>
        </w:rPr>
        <w:t xml:space="preserve"/>
        <w:br w:type="page"/>
        <w:t xml:space="preserve"/>
      </w:r>
    </w:p>
    <w:p>
      <w:pPr/>
      <w:r>
        <w:rPr>
          <w:rFonts w:ascii="Times" w:hAnsi="Times" w:cs="Times"/>
          <w:sz w:val="24"/>
          <w:sz-cs w:val="24"/>
          <w:u w:val="single"/>
        </w:rPr>
        <w:t xml:space="preserve">Pyuru: Pursuing Effective Clean Beauty</w:t>
      </w:r>
    </w:p>
    <w:p>
      <w:pPr/>
      <w:r>
        <w:rPr>
          <w:rFonts w:ascii="Times" w:hAnsi="Times" w:cs="Times"/>
          <w:sz w:val="24"/>
          <w:sz-cs w:val="24"/>
          <w:u w:val="single"/>
        </w:rPr>
        <w:t xml:space="preserve"/>
      </w:r>
    </w:p>
    <w:p>
      <w:pPr/>
      <w:r>
        <w:rPr>
          <w:rFonts w:ascii="Times" w:hAnsi="Times" w:cs="Times"/>
          <w:sz w:val="24"/>
          <w:sz-cs w:val="24"/>
        </w:rPr>
        <w:t xml:space="preserve">Pyuru, in which Unison invested in June 2019, handles the integrated production, manufacturing, and sale of hair care and skincare products using natural ingredients. Since its establishment in 1998, the company has focused on developing and manufacturing natural products that are gentle on hair and skin while offering high efficacy, as exemplified by its flagship Rishiri Hair Color Series, the top-selling gray hair treatment brand in Japan for 13 consecutive years. The new management team, which took over from the founder upon the transfer of shares to Unison, has formulated a modernized mission and vision while upholding the company's founding spirit.</w:t>
      </w:r>
    </w:p>
    <w:p>
      <w:pPr/>
      <w:r>
        <w:rPr>
          <w:rFonts w:ascii="Times" w:hAnsi="Times" w:cs="Times"/>
          <w:sz w:val="24"/>
          <w:sz-cs w:val="24"/>
        </w:rPr>
        <w:t xml:space="preserve"/>
      </w:r>
    </w:p>
    <w:p>
      <w:pPr/>
      <w:r>
        <w:rPr>
          <w:rFonts w:ascii="Times" w:hAnsi="Times" w:cs="Times"/>
          <w:sz w:val="24"/>
          <w:sz-cs w:val="24"/>
        </w:rPr>
        <w:t xml:space="preserve">Pyuru has been developing products with natural ingredients since its inception, and its concept is formalized in its unique Effective Clean Beauty philosophy. The mission and vision formulated based on this concept articulate Pyuru's commitment to beauty for all ages alongside providing globally competitive, highly effective, and environmentally friendly products. These serve as the guiding principles for Pyuru's brand development, research and development, and ESG initiatives, driving its next stage of growth. Pyuru President Inoue explains the importance of updating the company’s value system for the next stage while maintaining the founder's values and establishing a common language within the organization:</w:t>
      </w:r>
    </w:p>
    <w:p>
      <w:pPr/>
      <w:r>
        <w:rPr>
          <w:rFonts w:ascii="Times" w:hAnsi="Times" w:cs="Times"/>
          <w:sz w:val="24"/>
          <w:sz-cs w:val="24"/>
        </w:rPr>
        <w:t xml:space="preserve">"As a company, we have always been there for anyone worried about their gray hair. By consistently pursuing the initiatives set out in our mission and vision, we have grown into a widely preferred brand, achieving the top sales position in our specialist area for 13 consecutive years. In recent years, we have also launched new brands that address the hair and scalp concerns of younger generations, such as premature graying, hair loss due to COVID-19 or childbirth, and scalp concerns among younger people seeking fashionable hairstyles. Going forward, we aim to develop products that address various social issues and personal concerns, including those related to self-esteem. Moreover, to ensure all our products remain popular choices, we will continue to pursue Effective Clean Beauty by delivering truly effective products that are gentle on both people and the environment."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rPr>
        <w:t xml:space="preserve">Focus on Raw Materials and Environmental Initiatives in the Manufacturing and Development Process</w:t>
      </w:r>
    </w:p>
    <w:p>
      <w:pPr/>
      <w:r>
        <w:rPr>
          <w:rFonts w:ascii="Times" w:hAnsi="Times" w:cs="Times"/>
          <w:sz w:val="24"/>
          <w:sz-cs w:val="24"/>
          <w:u w:val="single"/>
        </w:rPr>
        <w:t xml:space="preserve"/>
      </w:r>
    </w:p>
    <w:p>
      <w:pPr/>
      <w:r>
        <w:rPr>
          <w:rFonts w:ascii="Times" w:hAnsi="Times" w:cs="Times"/>
          <w:sz w:val="24"/>
          <w:sz-cs w:val="24"/>
        </w:rPr>
        <w:t xml:space="preserve">With its mission and vision clarified, Pyuru began embodying the principles defined therein. Its combined head office and factory, established in 2017 in Itoshima, Fukuoka Prefecture, a region rich in nature, allows the company to control and manage most of its manufacturing processes and energy consumption in-house. Currently, Pyuru utilizes renewable energy sources such as solar and wind power, which cover approximately 10% of its electricity needs. The company also implements energy-saving measures such as controlling the number of air conditioning units and air compressors in operation based on usage. Pyuru plans to further increase its reliance on renewable energy and aims to achieve net-zero GHG emissions by 2026.</w:t>
      </w:r>
    </w:p>
    <w:p>
      <w:pPr/>
      <w:r>
        <w:rPr>
          <w:rFonts w:ascii="Times" w:hAnsi="Times" w:cs="Times"/>
          <w:sz w:val="24"/>
          <w:sz-cs w:val="24"/>
        </w:rPr>
        <w:t xml:space="preserve"/>
      </w:r>
    </w:p>
    <w:p>
      <w:pPr/>
      <w:r>
        <w:rPr>
          <w:rFonts w:ascii="Times" w:hAnsi="Times" w:cs="Times"/>
          <w:sz w:val="24"/>
          <w:sz-cs w:val="24"/>
        </w:rPr>
        <w:t xml:space="preserve">To reduce its environmental impact, Pyuru has achieved zero-waste by sorting and recycling raw material containers, cardboard boxes accumulated during the production process, and office waste. Furthermore, its manufacturing site has established a production system compliant with the globally recognized organic certification standard, ECOCERT COSMOS.* Pyuru also continuously improves its manufacturing processes based on suggestions and feedback from its production staff, aligning them with global environmental standards.</w:t>
      </w:r>
    </w:p>
    <w:p>
      <w:pPr/>
      <w:r>
        <w:rPr>
          <w:rFonts w:ascii="Times" w:hAnsi="Times" w:cs="Times"/>
          <w:sz w:val="24"/>
          <w:sz-cs w:val="24"/>
        </w:rPr>
        <w:t xml:space="preserve"/>
      </w:r>
    </w:p>
    <w:p>
      <w:pPr/>
      <w:r>
        <w:rPr>
          <w:rFonts w:ascii="Times" w:hAnsi="Times" w:cs="Times"/>
          <w:sz w:val="24"/>
          <w:sz-cs w:val="24"/>
        </w:rPr>
        <w:t xml:space="preserve">[</w:t>
      </w:r>
      <w:r>
        <w:rPr>
          <w:rFonts w:ascii="Hiragino Mincho ProN" w:hAnsi="Hiragino Mincho ProN" w:cs="Hiragino Mincho ProN"/>
          <w:sz w:val="24"/>
          <w:sz-cs w:val="24"/>
        </w:rPr>
        <w:t xml:space="preserve">ページ下部に注記を加える</w:t>
      </w:r>
      <w:r>
        <w:rPr>
          <w:rFonts w:ascii="Times" w:hAnsi="Times" w:cs="Times"/>
          <w:sz w:val="24"/>
          <w:sz-cs w:val="24"/>
        </w:rPr>
        <w:t xml:space="preserve">]</w:t>
      </w:r>
    </w:p>
    <w:p>
      <w:pPr/>
      <w:r>
        <w:rPr>
          <w:rFonts w:ascii="Times" w:hAnsi="Times" w:cs="Times"/>
          <w:sz w:val="24"/>
          <w:sz-cs w:val="24"/>
        </w:rPr>
        <w:t xml:space="preserve">*ECOCERT COSMOS certification: International standard for organic and natural cosmetics, promoting environmentally friendly product manufacturing and providing consumers with reliable organic products.</w:t>
      </w:r>
    </w:p>
    <w:p>
      <w:pPr/>
      <w:r>
        <w:rPr>
          <w:rFonts w:ascii="Times" w:hAnsi="Times" w:cs="Times"/>
          <w:sz w:val="24"/>
          <w:sz-cs w:val="24"/>
        </w:rPr>
        <w:t xml:space="preserve"/>
      </w:r>
    </w:p>
    <w:p>
      <w:pPr/>
      <w:r>
        <w:rPr>
          <w:rFonts w:ascii="Times" w:hAnsi="Times" w:cs="Times"/>
          <w:sz w:val="24"/>
          <w:sz-cs w:val="24"/>
        </w:rPr>
        <w:t xml:space="preserve">Pyuru has also established its own standards for raw materials and packaging used in its products. For example, the company does not use ingredients such as microplastics, phthalates, parabens, mineral oil, and sulfate-based surfactants. With RISHIRIA Furel, a new product line under the Rishiri brand targeting younger generations, Pyuru has successfully reduced plastic usage by approximately 70% through innovative refill container designs. Moreover, the company has partnered with local farms to establish its own farm, cultivating herbs and plants used in Pyuru's products. Employees participate in farming activities, deepening their connection with the local community.</w:t>
      </w:r>
    </w:p>
    <w:p>
      <w:pPr/>
      <w:r>
        <w:rPr>
          <w:rFonts w:ascii="Times" w:hAnsi="Times" w:cs="Times"/>
          <w:sz w:val="24"/>
          <w:sz-cs w:val="24"/>
        </w:rPr>
        <w:t xml:space="preserve"/>
      </w:r>
    </w:p>
    <w:p>
      <w:pPr/>
      <w:r>
        <w:rPr>
          <w:rFonts w:ascii="Times" w:hAnsi="Times" w:cs="Times"/>
          <w:sz w:val="24"/>
          <w:sz-cs w:val="24"/>
        </w:rPr>
        <w:t xml:space="preserve">[</w:t>
      </w:r>
      <w:r>
        <w:rPr>
          <w:rFonts w:ascii="Hiragino Mincho ProN" w:hAnsi="Hiragino Mincho ProN" w:cs="Hiragino Mincho ProN"/>
          <w:sz w:val="24"/>
          <w:sz-cs w:val="24"/>
        </w:rPr>
        <w:t xml:space="preserve">キャプチャ</w:t>
      </w:r>
      <w:r>
        <w:rPr>
          <w:rFonts w:ascii="Times" w:hAnsi="Times" w:cs="Times"/>
          <w:sz w:val="24"/>
          <w:sz-cs w:val="24"/>
        </w:rPr>
        <w:t xml:space="preserve">]</w:t>
      </w:r>
    </w:p>
    <w:p>
      <w:pPr/>
      <w:r>
        <w:rPr>
          <w:rFonts w:ascii="Times" w:hAnsi="Times" w:cs="Times"/>
          <w:sz w:val="24"/>
          <w:sz-cs w:val="24"/>
        </w:rPr>
        <w:t xml:space="preserve">From left to right, microplastics, phthalates, parabens, mineral oil, and sulfate-based surfactants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When developing new products, Pyuru adheres to the following principles in line with its Effective Clean Beauty philosophy:</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Use ingredients that are gentle on both the body and the environment.</w:t>
      </w:r>
    </w:p>
    <w:p>
      <w:pPr>
        <w:ind w:left="720" w:first-line="-720"/>
      </w:pPr>
      <w:r>
        <w:rPr>
          <w:rFonts w:ascii="Times" w:hAnsi="Times" w:cs="Times"/>
          <w:sz w:val="24"/>
          <w:sz-cs w:val="24"/>
        </w:rPr>
        <w:t xml:space="preserve"/>
        <w:tab/>
        <w:t xml:space="preserve">•</w:t>
        <w:tab/>
        <w:t xml:space="preserve">Emphasize scientific evidence.</w:t>
      </w:r>
    </w:p>
    <w:p>
      <w:pPr>
        <w:ind w:left="720" w:first-line="-720"/>
      </w:pPr>
      <w:r>
        <w:rPr>
          <w:rFonts w:ascii="Times" w:hAnsi="Times" w:cs="Times"/>
          <w:sz w:val="24"/>
          <w:sz-cs w:val="24"/>
        </w:rPr>
        <w:t xml:space="preserve"/>
        <w:tab/>
        <w:t xml:space="preserve">•</w:t>
        <w:tab/>
        <w:t xml:space="preserve">Continuously listen to and engage with customers.</w:t>
      </w:r>
    </w:p>
    <w:p>
      <w:pPr>
        <w:ind w:left="720" w:first-line="-720"/>
      </w:pPr>
      <w:r>
        <w:rPr>
          <w:rFonts w:ascii="Times" w:hAnsi="Times" w:cs="Times"/>
          <w:sz w:val="24"/>
          <w:sz-cs w:val="24"/>
        </w:rPr>
        <w:t xml:space="preserve"/>
        <w:tab/>
        <w:t xml:space="preserve">•</w:t>
        <w:tab/>
        <w:t xml:space="preserve">Operate across different countries, settings, and cultures, ensuring full localization.</w:t>
      </w:r>
    </w:p>
    <w:p>
      <w:pPr/>
      <w:r>
        <w:rPr>
          <w:rFonts w:ascii="Times" w:hAnsi="Times" w:cs="Times"/>
          <w:sz w:val="24"/>
          <w:sz-cs w:val="24"/>
        </w:rPr>
        <w:t xml:space="preserve"/>
      </w:r>
    </w:p>
    <w:p>
      <w:pPr/>
      <w:r>
        <w:rPr>
          <w:rFonts w:ascii="Times" w:hAnsi="Times" w:cs="Times"/>
          <w:sz w:val="24"/>
          <w:sz-cs w:val="24"/>
        </w:rPr>
        <w:t xml:space="preserve">LIHAW, one of the company’s new brands, launched in 2021, uses fragrances extracted from plants and herbs cultivated on Pyuru’s own farm, offering high-quality and effective skincare products at affordable prices. Wicot, a line for wholesalers, features Japan's first ECOCERT COSMOS certified beauty serum, also developed and manufactured in-house.</w:t>
      </w:r>
    </w:p>
    <w:p>
      <w:pPr/>
      <w:r>
        <w:rPr>
          <w:rFonts w:ascii="Times" w:hAnsi="Times" w:cs="Times"/>
          <w:sz w:val="24"/>
          <w:sz-cs w:val="24"/>
        </w:rPr>
        <w:t xml:space="preserve"/>
      </w:r>
    </w:p>
    <w:p>
      <w:pPr/>
      <w:r>
        <w:rPr>
          <w:rFonts w:ascii="Times" w:hAnsi="Times" w:cs="Times"/>
          <w:sz w:val="24"/>
          <w:sz-cs w:val="24"/>
          <w:u w:val="single"/>
        </w:rPr>
        <w:t xml:space="preserve">Regional Job Creation and Fair Evaluation System</w:t>
      </w:r>
    </w:p>
    <w:p>
      <w:pPr/>
      <w:r>
        <w:rPr>
          <w:rFonts w:ascii="Times" w:hAnsi="Times" w:cs="Times"/>
          <w:sz w:val="24"/>
          <w:sz-cs w:val="24"/>
          <w:u w:val="single"/>
        </w:rPr>
        <w:t xml:space="preserve"/>
      </w:r>
    </w:p>
    <w:p>
      <w:pPr/>
      <w:r>
        <w:rPr>
          <w:rFonts w:ascii="Times" w:hAnsi="Times" w:cs="Times"/>
          <w:sz w:val="24"/>
          <w:sz-cs w:val="24"/>
        </w:rPr>
        <w:t xml:space="preserve">Pyuru's head office and factory contribute to job creation in the Itoshima region, including by employing a significant number of women. With the revision of the company’s performance review system, more part-time employees have been promoted to full-time positions, and the proportion of women in management positions has steadily increased since Unison's investment. Pyuru also encourages men to take childcare leave, achieving a 100% usage rate among male employees since 2020. Other initiatives include holding makeup classes for employees, fostering a shared appreciation for hair care and skincare products within the company.</w:t>
      </w:r>
    </w:p>
    <w:p>
      <w:pPr/>
      <w:r>
        <w:rPr>
          <w:rFonts w:ascii="Times" w:hAnsi="Times" w:cs="Times"/>
          <w:sz w:val="24"/>
          <w:sz-cs w:val="24"/>
        </w:rPr>
        <w:t xml:space="preserve"/>
      </w:r>
    </w:p>
    <w:p>
      <w:pPr/>
      <w:r>
        <w:rPr>
          <w:rFonts w:ascii="Times" w:hAnsi="Times" w:cs="Times"/>
          <w:sz w:val="24"/>
          <w:sz-cs w:val="24"/>
        </w:rPr>
        <w:t xml:space="preserve">"An employee-friendly working environment for employees is created by implementing initiatives that are not bound by organizational customs or stereotypes, and that promote fair evaluation regardless of gender, age, or length of service, while facilitating a good work-life balance. The promotion of female employees to management positions and childcare leave for male employees are examples of such initiatives," says Pyuru CFO Tominaga. Specific measures include the introduction of four types of questionnaires, including the 360-Degree Questionnaire and the Requests from Subordinates to Superiors Questionnaire. These allow employees to provide feedback on what they would like to see continued or changed. Performance reviews are conducted twice a year, and management reviews all feedback, providing timely responses and implementing improvement actions. Under its human resources policy, Pyuru will continue to eliminate evaluation bias based on past experience, achievements, or gender, creating an environment where employees who are highly motivated and results-oriented can thrive.</w:t>
      </w:r>
    </w:p>
    <w:p>
      <w:pPr/>
      <w:r>
        <w:rPr>
          <w:rFonts w:ascii="Times" w:hAnsi="Times" w:cs="Times"/>
          <w:sz w:val="24"/>
          <w:sz-cs w:val="24"/>
        </w:rPr>
        <w:t xml:space="preserve"/>
      </w:r>
    </w:p>
    <w:p>
      <w:pPr/>
      <w:r>
        <w:rPr>
          <w:rFonts w:ascii="Times" w:hAnsi="Times" w:cs="Times"/>
          <w:sz w:val="24"/>
          <w:sz-cs w:val="24"/>
          <w:u w:val="single"/>
        </w:rPr>
        <w:t xml:space="preserve">In Conclusion</w:t>
      </w:r>
    </w:p>
    <w:p>
      <w:pPr/>
      <w:r>
        <w:rPr>
          <w:rFonts w:ascii="Times" w:hAnsi="Times" w:cs="Times"/>
          <w:sz w:val="24"/>
          <w:sz-cs w:val="24"/>
          <w:u w:val="single"/>
        </w:rPr>
        <w:t xml:space="preserve"/>
      </w:r>
    </w:p>
    <w:p>
      <w:pPr/>
      <w:r>
        <w:rPr>
          <w:rFonts w:ascii="Times" w:hAnsi="Times" w:cs="Times"/>
          <w:sz w:val="24"/>
          <w:sz-cs w:val="24"/>
        </w:rPr>
        <w:t xml:space="preserve">The formulation of Pyuru's mission, vision, and subsequent ESG policies clarified the value the company provides through its business activities and how it connects with the world. This has built a solid foundation for Pyuru to advance to its next growth stage while remaining true to its founding principles. Pyuru’s ESG initiatives are closely linked to making it an attractive company for consumers and employees alike. We expect Pyuru to further develop its unique initiatives even after Unison's investment period ends.</w:t>
      </w:r>
    </w:p>
    <w:p>
      <w:pPr/>
      <w:r>
        <w:rPr>
          <w:rFonts w:ascii="Times" w:hAnsi="Times" w:cs="Times"/>
          <w:sz w:val="24"/>
          <w:sz-cs w:val="24"/>
        </w:rPr>
        <w:t xml:space="preserve"/>
      </w:r>
    </w:p>
    <w:p>
      <w:pPr/>
      <w:r>
        <w:rPr>
          <w:rFonts w:ascii="Times" w:hAnsi="Times" w:cs="Times"/>
          <w:sz w:val="24"/>
          <w:sz-cs w:val="24"/>
          <w:u w:val="single"/>
        </w:rPr>
        <w:t xml:space="preserve"/>
        <w:br w:type="page"/>
        <w:t xml:space="preserve"/>
      </w:r>
    </w:p>
    <w:p>
      <w:pPr/>
      <w:r>
        <w:rPr>
          <w:rFonts w:ascii="Times" w:hAnsi="Times" w:cs="Times"/>
          <w:sz w:val="24"/>
          <w:sz-cs w:val="24"/>
          <w:u w:val="single"/>
        </w:rPr>
        <w:t xml:space="preserve">Daytona International: Engaging Communities with Field-Led Initiatives</w:t>
      </w:r>
    </w:p>
    <w:p>
      <w:pPr/>
      <w:r>
        <w:rPr>
          <w:rFonts w:ascii="Times" w:hAnsi="Times" w:cs="Times"/>
          <w:sz w:val="24"/>
          <w:sz-cs w:val="24"/>
          <w:u w:val="single"/>
        </w:rPr>
        <w:t xml:space="preserve"/>
      </w:r>
    </w:p>
    <w:p>
      <w:pPr/>
      <w:r>
        <w:rPr>
          <w:rFonts w:ascii="Times" w:hAnsi="Times" w:cs="Times"/>
          <w:sz w:val="24"/>
          <w:sz-cs w:val="24"/>
        </w:rPr>
        <w:t xml:space="preserve">Daytona International, in which Unison invested in April 2021, operates a boutique-style retail apparel business. With its core business, FREAK'S STORE, Daytona has established a unique vibe and positioning, continuing to expand its business in the lifestyle sector with a focus on fashion. While Daytona's success, including its e-commerce sales exceeding 60% of total revenue, is often discussed in the context of DX/OMO, the company is also committed to sustainability. In the apparel industry, often associated with high environmental impact, Daytona aims to gain support from environmentally conscious generations by setting the goal of "a prosperous future shared among all stakeholders" focusing on the following four areas:</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Community: Maximizing and communicating the attractiveness of local regions</w:t>
      </w:r>
    </w:p>
    <w:p>
      <w:pPr>
        <w:ind w:left="720" w:first-line="-720"/>
      </w:pPr>
      <w:r>
        <w:rPr>
          <w:rFonts w:ascii="Times" w:hAnsi="Times" w:cs="Times"/>
          <w:sz w:val="24"/>
          <w:sz-cs w:val="24"/>
        </w:rPr>
        <w:t xml:space="preserve"/>
        <w:tab/>
        <w:t xml:space="preserve">•</w:t>
        <w:tab/>
        <w:t xml:space="preserve">Value Chain: Collective responsible action</w:t>
      </w:r>
    </w:p>
    <w:p>
      <w:pPr>
        <w:ind w:left="720" w:first-line="-720"/>
      </w:pPr>
      <w:r>
        <w:rPr>
          <w:rFonts w:ascii="Times" w:hAnsi="Times" w:cs="Times"/>
          <w:sz w:val="24"/>
          <w:sz-cs w:val="24"/>
        </w:rPr>
        <w:t xml:space="preserve"/>
        <w:tab/>
        <w:t xml:space="preserve">•</w:t>
        <w:tab/>
        <w:t xml:space="preserve">People: Enabling diverse individuals to shine</w:t>
      </w:r>
    </w:p>
    <w:p>
      <w:pPr>
        <w:ind w:left="720" w:first-line="-720"/>
      </w:pPr>
      <w:r>
        <w:rPr>
          <w:rFonts w:ascii="Times" w:hAnsi="Times" w:cs="Times"/>
          <w:sz w:val="24"/>
          <w:sz-cs w:val="24"/>
        </w:rPr>
        <w:t xml:space="preserve"/>
        <w:tab/>
        <w:t xml:space="preserve">•</w:t>
        <w:tab/>
        <w:t xml:space="preserve">Environment: Passing on a thriving Earth to the next generation</w:t>
      </w:r>
    </w:p>
    <w:p>
      <w:pPr/>
      <w:r>
        <w:rPr>
          <w:rFonts w:ascii="Times" w:hAnsi="Times" w:cs="Times"/>
          <w:sz w:val="24"/>
          <w:sz-cs w:val="24"/>
        </w:rPr>
        <w:t xml:space="preserve"/>
      </w:r>
    </w:p>
    <w:p>
      <w:pPr/>
      <w:r>
        <w:rPr>
          <w:rFonts w:ascii="Times" w:hAnsi="Times" w:cs="Times"/>
          <w:sz w:val="24"/>
          <w:sz-cs w:val="24"/>
        </w:rPr>
        <w:t xml:space="preserve">In its environmental efforts, Daytona has set the goal of improving waste efficiency aiming to eliminate waste throughout the value chain and create a new circular economy. Daytona is directly addressing the issue of product waste, a significant challenge in the apparel industry both environmentally and financially. By refining demand forecasting and implementing flexible sales strategies that respond to customer needs, the company achieves a high annual sell-through rate of 96%, significantly exceeding the industry average of 70%. Daytona aims to maintain this high sell-through rate and continue its efforts to reduce waste.</w:t>
      </w:r>
    </w:p>
    <w:p>
      <w:pPr/>
      <w:r>
        <w:rPr>
          <w:rFonts w:ascii="Times" w:hAnsi="Times" w:cs="Times"/>
          <w:sz w:val="24"/>
          <w:sz-cs w:val="24"/>
        </w:rPr>
        <w:t xml:space="preserve"/>
      </w:r>
    </w:p>
    <w:p>
      <w:pPr/>
      <w:r>
        <w:rPr>
          <w:rFonts w:ascii="Times" w:hAnsi="Times" w:cs="Times"/>
          <w:sz w:val="24"/>
          <w:sz-cs w:val="24"/>
        </w:rPr>
        <w:t xml:space="preserve">[</w:t>
      </w:r>
      <w:r>
        <w:rPr>
          <w:rFonts w:ascii="Hiragino Mincho ProN" w:hAnsi="Hiragino Mincho ProN" w:cs="Hiragino Mincho ProN"/>
          <w:sz w:val="24"/>
          <w:sz-cs w:val="24"/>
        </w:rPr>
        <w:t xml:space="preserve">グラフタイトル</w:t>
      </w:r>
      <w:r>
        <w:rPr>
          <w:rFonts w:ascii="Times" w:hAnsi="Times" w:cs="Times"/>
          <w:sz w:val="24"/>
          <w:sz-cs w:val="24"/>
        </w:rPr>
        <w:t xml:space="preserve">]</w:t>
      </w:r>
    </w:p>
    <w:p>
      <w:pPr/>
      <w:r>
        <w:rPr>
          <w:rFonts w:ascii="Times" w:hAnsi="Times" w:cs="Times"/>
          <w:sz w:val="24"/>
          <w:sz-cs w:val="24"/>
        </w:rPr>
        <w:t xml:space="preserve">Trends in Product Sell-Through Rate</w:t>
      </w:r>
    </w:p>
    <w:p>
      <w:pPr/>
      <w:r>
        <w:rPr>
          <w:rFonts w:ascii="Times" w:hAnsi="Times" w:cs="Times"/>
          <w:sz w:val="24"/>
          <w:sz-cs w:val="24"/>
        </w:rPr>
        <w:t xml:space="preserve">[</w:t>
      </w:r>
      <w:r>
        <w:rPr>
          <w:rFonts w:ascii="Hiragino Mincho ProN" w:hAnsi="Hiragino Mincho ProN" w:cs="Hiragino Mincho ProN"/>
          <w:sz w:val="24"/>
          <w:sz-cs w:val="24"/>
        </w:rPr>
        <w:t xml:space="preserve">グラフ中</w:t>
      </w:r>
      <w:r>
        <w:rPr>
          <w:rFonts w:ascii="Times" w:hAnsi="Times" w:cs="Times"/>
          <w:sz w:val="24"/>
          <w:sz-cs w:val="24"/>
        </w:rPr>
        <w:t xml:space="preserve">]</w:t>
      </w:r>
    </w:p>
    <w:p>
      <w:pPr/>
      <w:r>
        <w:rPr>
          <w:rFonts w:ascii="Times" w:hAnsi="Times" w:cs="Times"/>
          <w:sz w:val="24"/>
          <w:sz-cs w:val="24"/>
        </w:rPr>
        <w:t xml:space="preserve">22/2</w:t>
      </w:r>
      <w:r>
        <w:rPr>
          <w:rFonts w:ascii="Hiragino Mincho ProN" w:hAnsi="Hiragino Mincho ProN" w:cs="Hiragino Mincho ProN"/>
          <w:sz w:val="24"/>
          <w:sz-cs w:val="24"/>
        </w:rPr>
        <w:t xml:space="preserve">期、</w:t>
      </w:r>
      <w:r>
        <w:rPr>
          <w:rFonts w:ascii="Times" w:hAnsi="Times" w:cs="Times"/>
          <w:sz w:val="24"/>
          <w:sz-cs w:val="24"/>
        </w:rPr>
        <w:t xml:space="preserve">23/2</w:t>
      </w:r>
      <w:r>
        <w:rPr>
          <w:rFonts w:ascii="Hiragino Mincho ProN" w:hAnsi="Hiragino Mincho ProN" w:cs="Hiragino Mincho ProN"/>
          <w:sz w:val="24"/>
          <w:sz-cs w:val="24"/>
        </w:rPr>
        <w:t xml:space="preserve">期、</w:t>
      </w:r>
      <w:r>
        <w:rPr>
          <w:rFonts w:ascii="Times" w:hAnsi="Times" w:cs="Times"/>
          <w:sz w:val="24"/>
          <w:sz-cs w:val="24"/>
        </w:rPr>
        <w:t xml:space="preserve">24/2</w:t>
      </w:r>
      <w:r>
        <w:rPr>
          <w:rFonts w:ascii="Hiragino Mincho ProN" w:hAnsi="Hiragino Mincho ProN" w:cs="Hiragino Mincho ProN"/>
          <w:sz w:val="24"/>
          <w:sz-cs w:val="24"/>
        </w:rPr>
        <w:t xml:space="preserve">期：</w:t>
      </w:r>
      <w:r>
        <w:rPr>
          <w:rFonts w:ascii="Times" w:hAnsi="Times" w:cs="Times"/>
          <w:sz w:val="24"/>
          <w:sz-cs w:val="24"/>
        </w:rPr>
        <w:t xml:space="preserve">FY22/2</w:t>
      </w:r>
      <w:r>
        <w:rPr>
          <w:rFonts w:ascii="Hiragino Mincho ProN" w:hAnsi="Hiragino Mincho ProN" w:cs="Hiragino Mincho ProN"/>
          <w:sz w:val="24"/>
          <w:sz-cs w:val="24"/>
        </w:rPr>
        <w:t xml:space="preserve">、</w:t>
      </w:r>
      <w:r>
        <w:rPr>
          <w:rFonts w:ascii="Times" w:hAnsi="Times" w:cs="Times"/>
          <w:sz w:val="24"/>
          <w:sz-cs w:val="24"/>
        </w:rPr>
        <w:t xml:space="preserve">FY23/2</w:t>
      </w:r>
      <w:r>
        <w:rPr>
          <w:rFonts w:ascii="Hiragino Mincho ProN" w:hAnsi="Hiragino Mincho ProN" w:cs="Hiragino Mincho ProN"/>
          <w:sz w:val="24"/>
          <w:sz-cs w:val="24"/>
        </w:rPr>
        <w:t xml:space="preserve">、</w:t>
      </w:r>
      <w:r>
        <w:rPr>
          <w:rFonts w:ascii="Times" w:hAnsi="Times" w:cs="Times"/>
          <w:sz w:val="24"/>
          <w:sz-cs w:val="24"/>
        </w:rPr>
        <w:t xml:space="preserve">FY24/2</w:t>
      </w:r>
    </w:p>
    <w:p>
      <w:pPr/>
      <w:r>
        <w:rPr>
          <w:rFonts w:ascii="Hiragino Mincho ProN" w:hAnsi="Hiragino Mincho ProN" w:cs="Hiragino Mincho ProN"/>
          <w:sz w:val="24"/>
          <w:sz-cs w:val="24"/>
        </w:rPr>
        <w:t xml:space="preserve">デイトナ：</w:t>
      </w:r>
      <w:r>
        <w:rPr>
          <w:rFonts w:ascii="Times" w:hAnsi="Times" w:cs="Times"/>
          <w:sz w:val="24"/>
          <w:sz-cs w:val="24"/>
        </w:rPr>
        <w:t xml:space="preserve">Daytona</w:t>
      </w:r>
    </w:p>
    <w:p>
      <w:pPr/>
      <w:r>
        <w:rPr>
          <w:rFonts w:ascii="Hiragino Mincho ProN" w:hAnsi="Hiragino Mincho ProN" w:cs="Hiragino Mincho ProN"/>
          <w:sz w:val="24"/>
          <w:sz-cs w:val="24"/>
        </w:rPr>
        <w:t xml:space="preserve">業界全体：</w:t>
      </w:r>
      <w:r>
        <w:rPr>
          <w:rFonts w:ascii="Times" w:hAnsi="Times" w:cs="Times"/>
          <w:sz w:val="24"/>
          <w:sz-cs w:val="24"/>
        </w:rPr>
        <w:t xml:space="preserve">Industry average</w:t>
      </w:r>
    </w:p>
    <w:p>
      <w:pPr/>
      <w:r>
        <w:rPr>
          <w:rFonts w:ascii="Times" w:hAnsi="Times" w:cs="Times"/>
          <w:sz w:val="24"/>
          <w:sz-cs w:val="24"/>
        </w:rPr>
        <w:t xml:space="preserve"/>
      </w:r>
    </w:p>
    <w:p>
      <w:pPr/>
      <w:r>
        <w:rPr>
          <w:rFonts w:ascii="Times" w:hAnsi="Times" w:cs="Times"/>
          <w:sz w:val="24"/>
          <w:sz-cs w:val="24"/>
        </w:rPr>
        <w:t xml:space="preserve">In planning its private label products, Daytona is working to increase the use of sustainable materials. In 2019, the company launched Firsthand, a concept store themed around sustainability, fashion, and art. Firsthand features an original denim line called the "Made in Japan Denim Series" that utilizes blockchain technology to provide transparency on the companies involved in the production process and their CO2 emissions. By accurately understanding the CO2 emissions generated during the production of its staple denim items, Firsthand aims to identify the optimal approach to decarbonization and further reduce its environmental impact in future product planning. This initiative addresses the challenge of transparency in apparel manufacturing by visualizing the previously opaque production background and linking it to an immutable blockchain, providing consumers with a new criterion for selection.</w:t>
      </w:r>
    </w:p>
    <w:p>
      <w:pPr/>
      <w:r>
        <w:rPr>
          <w:rFonts w:ascii="Times" w:hAnsi="Times" w:cs="Times"/>
          <w:sz w:val="24"/>
          <w:sz-cs w:val="24"/>
        </w:rPr>
        <w:t xml:space="preserve"/>
      </w:r>
    </w:p>
    <w:p>
      <w:pPr/>
      <w:r>
        <w:rPr>
          <w:rFonts w:ascii="Times" w:hAnsi="Times" w:cs="Times"/>
          <w:sz w:val="24"/>
          <w:sz-cs w:val="24"/>
        </w:rPr>
        <w:t xml:space="preserve">Daytona introduced a Sustainable Mark* scheme covering not only Firsthand but the company as a whole in 2022. The percentage of the company’s products that have been labelled with the Sustainable Mark has increased from 6.9% in 2022 to 11.9% in 2023. Additionally, Daytona stores collect used clothing, regardless of brand, for recycling and reuse as lining materials with 1,650kg already utilized. In 2023, the company began measuring CO2 emissions from its offices and stores, and in 2024, it started assessing product-related emissions to visualize and minimize the environmental impact of its business activities.</w:t>
      </w:r>
    </w:p>
    <w:p>
      <w:pPr/>
      <w:r>
        <w:rPr>
          <w:rFonts w:ascii="Times" w:hAnsi="Times" w:cs="Times"/>
          <w:sz w:val="24"/>
          <w:sz-cs w:val="24"/>
        </w:rPr>
        <w:t xml:space="preserve"/>
      </w:r>
    </w:p>
    <w:p>
      <w:pPr/>
      <w:r>
        <w:rPr>
          <w:rFonts w:ascii="Times" w:hAnsi="Times" w:cs="Times"/>
          <w:sz w:val="24"/>
          <w:sz-cs w:val="24"/>
        </w:rPr>
        <w:t xml:space="preserve">[</w:t>
      </w:r>
      <w:r>
        <w:rPr>
          <w:rFonts w:ascii="Hiragino Mincho ProN" w:hAnsi="Hiragino Mincho ProN" w:cs="Hiragino Mincho ProN"/>
          <w:sz w:val="24"/>
          <w:sz-cs w:val="24"/>
        </w:rPr>
        <w:t xml:space="preserve">ページ下部に注記を加える</w:t>
      </w:r>
      <w:r>
        <w:rPr>
          <w:rFonts w:ascii="Times" w:hAnsi="Times" w:cs="Times"/>
          <w:sz w:val="24"/>
          <w:sz-cs w:val="24"/>
        </w:rPr>
        <w:t xml:space="preserve">]</w:t>
      </w:r>
    </w:p>
    <w:p>
      <w:pPr/>
      <w:r>
        <w:rPr>
          <w:rFonts w:ascii="Times" w:hAnsi="Times" w:cs="Times"/>
          <w:sz w:val="24"/>
          <w:sz-cs w:val="24"/>
        </w:rPr>
        <w:t xml:space="preserve">*Sustainable Marks: Indicate products that contribute to reducing environmental impact through the use of environmentally friendly materials, or that support environmental, social, or community causes (e.g., products with a portion of sales donated to charities or welfare activities).</w:t>
      </w:r>
    </w:p>
    <w:p>
      <w:pPr/>
      <w:r>
        <w:rPr>
          <w:rFonts w:ascii="Times" w:hAnsi="Times" w:cs="Times"/>
          <w:sz w:val="24"/>
          <w:sz-cs w:val="24"/>
        </w:rPr>
        <w:t xml:space="preserve"/>
      </w:r>
    </w:p>
    <w:p>
      <w:pPr/>
      <w:r>
        <w:rPr>
          <w:rFonts w:ascii="Times" w:hAnsi="Times" w:cs="Times"/>
          <w:sz w:val="24"/>
          <w:sz-cs w:val="24"/>
        </w:rPr>
        <w:t xml:space="preserve">In addition to business unit-level initiatives, Daytona's collaborative efforts with local communities through its stores and various touchpoints are particularly noteworthy.</w:t>
      </w:r>
    </w:p>
    <w:p>
      <w:pPr/>
      <w:r>
        <w:rPr>
          <w:rFonts w:ascii="Times" w:hAnsi="Times" w:cs="Times"/>
          <w:sz w:val="24"/>
          <w:sz-cs w:val="24"/>
        </w:rPr>
        <w:t xml:space="preserve"/>
      </w:r>
    </w:p>
    <w:p>
      <w:pPr/>
      <w:r>
        <w:rPr>
          <w:rFonts w:ascii="Times" w:hAnsi="Times" w:cs="Times"/>
          <w:sz w:val="24"/>
          <w:sz-cs w:val="24"/>
        </w:rPr>
        <w:t xml:space="preserve">The Nagano store collaborated with Minna-Denryoku—an electricity retailer providing renewable energy in the form of “traceable electricity” by sharing the faces and stories of its producers—to launch “FREAK’S Denki (FREAK’S STORE-branded electricity).” This initiative addresses two challenges simultaneously: raising awareness of renewable energy among Daytona's primary customer base of young people and utilizing abandoned farmland in Nagano Prefecture. A portion of the monthly electricity charges paid by FREAK'S Electricity subscribers is donated to Shinano Soil, a non-profit organization that engages in social activities and whose staff consists mainly of local students. Daytona also supports Shinano Soil's initiative to produce popcorn and beer from the farmland they cultivate. The 2023 harvest festival became a large-scale event with over 80 participants, including local government officials, students, media, and farmers. Shinano Soil now cultivates an area that has grown to approximately 2,000 square meters, with a harvest of about 200 kilograms of corn. Bakuretsu Shinano Pop, the popcorn produced through the FREAK'S Electricity initiative, was widely acclaimed at the Shinshu Brand Award 2023, an award organized by Nagano Prefecture to recognize brands and designs that contribute to enhancing the profile of the Shinshu region (another name for Nagano Prefecture). This award highlights the high regard the product has won as an example of innovation through collaboration. Bakuretsu Shinano Pop is carefully cultivated without the use of pesticides, herbicides, additives, or genetic modification, making it a rare environmentally friendly domestic popcorn. The freshly harvested corn is vacuum-packed for an appealing presentation.</w:t>
      </w:r>
    </w:p>
    <w:p>
      <w:pPr/>
      <w:r>
        <w:rPr>
          <w:rFonts w:ascii="Times" w:hAnsi="Times" w:cs="Times"/>
          <w:sz w:val="24"/>
          <w:sz-cs w:val="24"/>
        </w:rPr>
        <w:t xml:space="preserve"/>
      </w:r>
    </w:p>
    <w:p>
      <w:pPr/>
      <w:r>
        <w:rPr>
          <w:rFonts w:ascii="Times" w:hAnsi="Times" w:cs="Times"/>
          <w:sz w:val="24"/>
          <w:sz-cs w:val="24"/>
        </w:rPr>
        <w:t xml:space="preserve">Daytona’s Shizuoka store launched the OSAKANA FREAK project, a headline project within the "Eat, Wear, and Learn About the SDGs" initiative focused on underutilized fish products. Addressing the global issues of declining fish stocks and food loss, the store collaborated with universities, research institutions, and local businesses in Shizuoka Prefecture in May 2023 to develop new local products using underutilized resources. The first product developed was Yaizu Bonito Peperoncino, a pasta sauce made from parts of bonito that would typically be discarded. This sauce is sold at FREAK'S STORE locations and events. In January 2024, the project’s second product, Yaizu Bonito Amatriciana, was launched. This cross-industry collaboration with the local community has helped to promote the natural landscape, challenges, and appeal of Shizuoka Prefecture beyond its borders. The initiative was highly praised by Shizuoka City, leading to a joint project promoting Shizuoka-produced wasabi and other contributors to local tourism, and culminating in a comprehensive partnership agreement with Shizuoka City, a first for an apparel company.</w:t>
      </w:r>
    </w:p>
    <w:p>
      <w:pPr/>
      <w:r>
        <w:rPr>
          <w:rFonts w:ascii="Times" w:hAnsi="Times" w:cs="Times"/>
          <w:sz w:val="24"/>
          <w:sz-cs w:val="24"/>
        </w:rPr>
        <w:t xml:space="preserve"/>
      </w:r>
    </w:p>
    <w:p>
      <w:pPr/>
      <w:r>
        <w:rPr>
          <w:rFonts w:ascii="Times" w:hAnsi="Times" w:cs="Times"/>
          <w:sz w:val="24"/>
          <w:sz-cs w:val="24"/>
        </w:rPr>
        <w:t xml:space="preserve">Daytona also has a comprehensive partnership agreement with Koga City in Ibaraki Prefecture, where the company was founded, and collaborates with the city on various initiatives. One example of this collaboration is &amp;FREAK., a community-based co-working space that opened in April 2022, utilizing the second floor of The Camp FREAK'S STORE in Koga. &amp;FREAK., founded on the concept of "pursuing our passions, together" serves as a base for conducting both business and hobbies. Through activities in its studio and event space, it provides opportunities for individuals to hone their skills and connect with new people in the local community. In its first year of operation, &amp;FREAK. secured annual contracts with ten companies and hosted various events such as plant and accessory fairs and art exhibitions, creating a new flow of people into Koga City.</w:t>
      </w:r>
    </w:p>
    <w:p>
      <w:pPr/>
      <w:r>
        <w:rPr>
          <w:rFonts w:ascii="Times" w:hAnsi="Times" w:cs="Times"/>
          <w:sz w:val="24"/>
          <w:sz-cs w:val="24"/>
        </w:rPr>
        <w:t xml:space="preserve"/>
      </w:r>
    </w:p>
    <w:p>
      <w:pPr/>
      <w:r>
        <w:rPr>
          <w:rFonts w:ascii="Times" w:hAnsi="Times" w:cs="Times"/>
          <w:sz w:val="24"/>
          <w:sz-cs w:val="24"/>
        </w:rPr>
        <w:t xml:space="preserve">These collaborations with local communities, businesses, and organizations are made possible through the seamless cooperation between Daytona's head office branding department and its stores. President Sasaki of Daytona describes these initiatives:</w:t>
      </w:r>
    </w:p>
    <w:p>
      <w:pPr/>
      <w:r>
        <w:rPr>
          <w:rFonts w:ascii="Times" w:hAnsi="Times" w:cs="Times"/>
          <w:sz w:val="24"/>
          <w:sz-cs w:val="24"/>
        </w:rPr>
        <w:t xml:space="preserve"/>
      </w:r>
    </w:p>
    <w:p>
      <w:pPr/>
      <w:r>
        <w:rPr>
          <w:rFonts w:ascii="Times" w:hAnsi="Times" w:cs="Times"/>
          <w:sz w:val="24"/>
          <w:sz-cs w:val="24"/>
        </w:rPr>
        <w:t xml:space="preserve">"Daytona International forms communities with customers through its stores, e-commerce, social media, and owned media channels. At every touchpoint and in every business relationship, whether BtoC or BtoB, we prioritize feel-good interactions through communication that resonates with everyone. Our various initiatives are driven by the desire to promote excitement and enthusiasm, and through these connections, we aim to contribute to society. This aspiration is shared by our management, employees, customers, and partners."</w:t>
      </w:r>
    </w:p>
    <w:p>
      <w:pPr/>
      <w:r>
        <w:rPr>
          <w:rFonts w:ascii="Times" w:hAnsi="Times" w:cs="Times"/>
          <w:sz w:val="24"/>
          <w:sz-cs w:val="24"/>
        </w:rPr>
        <w:t xml:space="preserve"/>
      </w:r>
    </w:p>
    <w:p>
      <w:pPr/>
      <w:r>
        <w:rPr>
          <w:rFonts w:ascii="Times" w:hAnsi="Times" w:cs="Times"/>
          <w:sz w:val="24"/>
          <w:sz-cs w:val="24"/>
        </w:rPr>
        <w:t xml:space="preserve">Daytona's diverse collaborations leverage its product planning and communication capabilities. The company will continue to engage consumers and communities in initiatives based on the concept of "a prosperous future</w:t>
      </w:r>
      <w:r>
        <w:rPr>
          <w:rFonts w:ascii="Times" w:hAnsi="Times" w:cs="Times"/>
          <w:sz w:val="24"/>
          <w:sz-cs w:val="24"/>
          <w:color w:val="FF0000"/>
        </w:rPr>
        <w:t xml:space="preserve"> </w:t>
      </w:r>
      <w:r>
        <w:rPr>
          <w:rFonts w:ascii="Times" w:hAnsi="Times" w:cs="Times"/>
          <w:sz w:val="24"/>
          <w:sz-cs w:val="24"/>
        </w:rPr>
        <w:t xml:space="preserve">shared among all stakeholders."</w:t>
      </w:r>
    </w:p>
    <w:p>
      <w:pPr/>
      <w:r>
        <w:rPr>
          <w:rFonts w:ascii="Times" w:hAnsi="Times" w:cs="Times"/>
          <w:sz w:val="24"/>
          <w:sz-cs w:val="24"/>
        </w:rPr>
        <w:t xml:space="preserve"/>
        <w:br w:type="page"/>
        <w:t xml:space="preserve"/>
      </w:r>
    </w:p>
    <w:p>
      <w:pPr/>
      <w:r>
        <w:rPr>
          <w:rFonts w:ascii="Times" w:hAnsi="Times" w:cs="Times"/>
          <w:sz w:val="24"/>
          <w:sz-cs w:val="24"/>
          <w:u w:val="single"/>
        </w:rPr>
        <w:t xml:space="preserve">Establishing the Circular Economy Growth Capital Fund</w:t>
      </w:r>
    </w:p>
    <w:p>
      <w:pPr/>
      <w:r>
        <w:rPr>
          <w:rFonts w:ascii="Times" w:hAnsi="Times" w:cs="Times"/>
          <w:sz w:val="24"/>
          <w:sz-cs w:val="24"/>
          <w:u w:val="single"/>
        </w:rPr>
        <w:t xml:space="preserve"/>
      </w:r>
    </w:p>
    <w:p>
      <w:pPr/>
      <w:r>
        <w:rPr>
          <w:rFonts w:ascii="Times" w:hAnsi="Times" w:cs="Times"/>
          <w:sz w:val="24"/>
          <w:sz-cs w:val="24"/>
        </w:rPr>
        <w:t xml:space="preserve">Ideation 3X, Unison's first investment in India, continues to thrive as a platform in the circular economy sector, having secured investments from several Japanese companies. This experience has provided us with valuable insights: 1) a significant gap exists between the supply and demand for growth capital for startups in India, and 2) Japanese companies are increasingly eager to pursue growth opportunities in the Indian market by partnering with startups. Based on these insights, Unison co-founded Wildflower Capital with Baring Private Equity Partners India, a firm with extensive experience in growth investments in the Indian market. Together, we have established the Circular Economy Growth Capital Fund (the Fund) to generate significant social impact and investment returns through investments in the circular economy sector.</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At the COP26 World Leaders Summit in November 2021, the Indian government pledged to achieve carbon neutrality by 2070 and committed to sourcing a total of 500GW of electricity from non-fossil fuel sources between now and 2030. To achieve these goals, various infrastructure projects are underway, including renewable energy, smart cities, and decarbonization initiatives. The success of these projects hinges on the presence of Indian companies with expertise in technologies related to the 4R model (Reduce, Reuse, Recycle, Redesign). Investment in the circular economy is essential for India to achieve carbon neutrality and holds the key to sustainable growth for the Indian economy.</w:t>
      </w:r>
    </w:p>
    <w:p>
      <w:pPr/>
      <w:r>
        <w:rPr>
          <w:rFonts w:ascii="Times" w:hAnsi="Times" w:cs="Times"/>
          <w:sz w:val="24"/>
          <w:sz-cs w:val="24"/>
        </w:rPr>
        <w:t xml:space="preserve"/>
      </w:r>
    </w:p>
    <w:p>
      <w:pPr/>
      <w:r>
        <w:rPr>
          <w:rFonts w:ascii="Times" w:hAnsi="Times" w:cs="Times"/>
          <w:sz w:val="24"/>
          <w:sz-cs w:val="24"/>
        </w:rPr>
        <w:t xml:space="preserve">The Fund aims to connect Japanese companies possessing 4R technologies relevant to the circular economy to growth opportunities in India. This will lead to the introduction of advanced Japanese technologies into India's cost-effective business models, creating globally deployable circular economy solutions. Japanese companies able to offer advanced solutions in the 4R domain and seeking to tap into the Indian market view India as a growth opportunity and require local partners with expertise concerning India’s industrial infrastructure. By investing in the Fund, Japanese companies looking to diversify their supply chains from a geopolitical perspective can gain access to global solutions in India's circular economy sector.</w:t>
      </w:r>
    </w:p>
    <w:p>
      <w:pPr/>
      <w:r>
        <w:rPr>
          <w:rFonts w:ascii="Times" w:hAnsi="Times" w:cs="Times"/>
          <w:sz w:val="24"/>
          <w:sz-cs w:val="24"/>
        </w:rPr>
        <w:t xml:space="preserve"/>
      </w:r>
    </w:p>
    <w:p>
      <w:pPr/>
      <w:r>
        <w:rPr>
          <w:rFonts w:ascii="Times" w:hAnsi="Times" w:cs="Times"/>
          <w:sz w:val="24"/>
          <w:sz-cs w:val="24"/>
        </w:rPr>
        <w:t xml:space="preserve">The Fund will provide growth capital, such as Series B and C funding, to Indian startups with 4R-related technologies. It will also invest in established SMEs requiring growth capital to scale their circular economy solutions. Through such initiatives, we will actively pursue co-investments with Japanese companies that have expertise in the 4R domain.</w:t>
      </w:r>
    </w:p>
    <w:p>
      <w:pPr/>
      <w:r>
        <w:rPr>
          <w:rFonts w:ascii="Times" w:hAnsi="Times" w:cs="Times"/>
          <w:sz w:val="24"/>
          <w:sz-cs w:val="24"/>
        </w:rPr>
        <w:t xml:space="preserve"/>
      </w:r>
    </w:p>
    <w:p>
      <w:pPr/>
      <w:r>
        <w:rPr>
          <w:rFonts w:ascii="Times" w:hAnsi="Times" w:cs="Times"/>
          <w:sz w:val="24"/>
          <w:sz-cs w:val="24"/>
        </w:rPr>
        <w:t xml:space="preserve">The Fund’s investment strategy is aligned with the Indian government's strong emphasis on advancing circular economy industries. The government has recently introduced various measures, including the Clean India Mission 2.0 program and Extended Producer Responsibility (EPR) legislation. The former is a suite of policies that promotes adoption of a comprehensive waste-treatment model, Integrated Solid Waste Management (ISWM), within the country, while the latter mandates the introduction of the 4R model across all sectors of industry and is part of a broader effort to encourage sustainable practices and lifestyles under the Mission LiFE policy package. The Fund will generate significant impact within Indian society while aligning with the aforementioned policies.</w:t>
      </w:r>
    </w:p>
    <w:p>
      <w:pPr/>
      <w:r>
        <w:rPr>
          <w:rFonts w:ascii="Times" w:hAnsi="Times" w:cs="Times"/>
          <w:sz w:val="24"/>
          <w:sz-cs w:val="24"/>
        </w:rPr>
        <w:t xml:space="preserve"/>
      </w:r>
    </w:p>
    <w:p>
      <w:pPr/>
      <w:r>
        <w:rPr>
          <w:rFonts w:ascii="Times" w:hAnsi="Times" w:cs="Times"/>
          <w:sz w:val="24"/>
          <w:sz-cs w:val="24"/>
        </w:rPr>
        <w:t xml:space="preserve">The project of establishing the Fund represents a new challenge for Unison within our ongoing commitment to sustainable investment, a goal we have pursued systematically since our founding. The formal marketing efforts for the Fund are set to commence shortly, setting the stage for a new era of collaboration and innovation between India and Japan. </w:t>
      </w:r>
    </w:p>
    <w:p>
      <w:pPr/>
      <w:r>
        <w:rPr>
          <w:rFonts w:ascii="Times" w:hAnsi="Times" w:cs="Times"/>
          <w:sz w:val="24"/>
          <w:sz-cs w:val="24"/>
        </w:rPr>
        <w:t xml:space="preserve"/>
      </w:r>
    </w:p>
    <w:p>
      <w:pPr/>
      <w:r>
        <w:rPr>
          <w:rFonts w:ascii="Arial" w:hAnsi="Arial" w:cs="Arial"/>
          <w:sz w:val="24"/>
          <w:sz-cs w:val="24"/>
          <w:b/>
        </w:rPr>
        <w:t xml:space="preserve"/>
        <w:br w:type="page"/>
        <w:t xml:space="preserve"/>
      </w:r>
    </w:p>
    <w:p>
      <w:pPr/>
      <w:r>
        <w:rPr>
          <w:rFonts w:ascii="Arial" w:hAnsi="Arial" w:cs="Arial"/>
          <w:sz w:val="24"/>
          <w:sz-cs w:val="24"/>
          <w:u w:val="single"/>
        </w:rPr>
        <w:t xml:space="preserve">Afterword</w:t>
      </w:r>
    </w:p>
    <w:p>
      <w:pPr/>
      <w:r>
        <w:rPr>
          <w:rFonts w:ascii="Arial" w:hAnsi="Arial" w:cs="Arial"/>
          <w:sz w:val="24"/>
          <w:sz-cs w:val="24"/>
          <w:u w:val="single"/>
        </w:rPr>
        <w:t xml:space="preserve"/>
      </w:r>
    </w:p>
    <w:p>
      <w:pPr/>
      <w:r>
        <w:rPr>
          <w:rFonts w:ascii="Arial" w:hAnsi="Arial" w:cs="Arial"/>
          <w:sz w:val="24"/>
          <w:sz-cs w:val="24"/>
        </w:rPr>
        <w:t xml:space="preserve">This year marks the fourth edition of Unison's Sustainability Report, first published in 2021. Since our founding, Unison has been committed to a business purpose that goes beyond mere financial gain, encompassing social impact and value creation.</w:t>
      </w:r>
    </w:p>
    <w:p>
      <w:pPr/>
      <w:r>
        <w:rPr>
          <w:rFonts w:ascii="Arial" w:hAnsi="Arial" w:cs="Arial"/>
          <w:sz w:val="24"/>
          <w:sz-cs w:val="24"/>
        </w:rPr>
        <w:t xml:space="preserve"/>
      </w:r>
    </w:p>
    <w:p>
      <w:pPr/>
      <w:r>
        <w:rPr>
          <w:rFonts w:ascii="Arial" w:hAnsi="Arial" w:cs="Arial"/>
          <w:sz w:val="24"/>
          <w:sz-cs w:val="24"/>
        </w:rPr>
        <w:t xml:space="preserve">This year's report focuses on our consumer sector practice, which has continuously evolved over the 25 years since the establishment of Fund I. As demonstrated by the initiatives of Pyuru and Daytona International, we view ESG not merely as a set of rules or obligations, but as an integral part of our core business. Each portfolio company has implemented concrete measures aimed at benefiting local communities, employees, and the environment.</w:t>
      </w:r>
    </w:p>
    <w:p>
      <w:pPr/>
      <w:r>
        <w:rPr>
          <w:rFonts w:ascii="Arial" w:hAnsi="Arial" w:cs="Arial"/>
          <w:sz w:val="24"/>
          <w:sz-cs w:val="24"/>
        </w:rPr>
        <w:t xml:space="preserve"/>
      </w:r>
    </w:p>
    <w:p>
      <w:pPr/>
      <w:r>
        <w:rPr>
          <w:rFonts w:ascii="Arial" w:hAnsi="Arial" w:cs="Arial"/>
          <w:sz w:val="24"/>
          <w:sz-cs w:val="24"/>
        </w:rPr>
        <w:t xml:space="preserve">As these examples illustrate, our goal is to help the companies we invest in achieve both long-term enhancement of corporate value and fulfillment of their social responsibilities. To objectively assess the quantitative impact of these initiatives on society, we have co-developed a sustainability visualization tool with Rimm and participated in the EDCI, aiming to disseminate industry best practices across our portfolio.</w:t>
      </w:r>
    </w:p>
    <w:p>
      <w:pPr/>
      <w:r>
        <w:rPr>
          <w:rFonts w:ascii="Arial" w:hAnsi="Arial" w:cs="Arial"/>
          <w:sz w:val="24"/>
          <w:sz-cs w:val="24"/>
        </w:rPr>
        <w:t xml:space="preserve"/>
      </w:r>
    </w:p>
    <w:p>
      <w:pPr/>
      <w:r>
        <w:rPr>
          <w:rFonts w:ascii="Arial" w:hAnsi="Arial" w:cs="Arial"/>
          <w:sz w:val="24"/>
          <w:sz-cs w:val="24"/>
        </w:rPr>
        <w:t xml:space="preserve">This report also features photographs of wildflowers taken by Rahul Bhasin, a founding member of Wildflower Capital, as well as some photos I took myself at a botanical garden in Karuizawa.</w:t>
      </w:r>
    </w:p>
    <w:p>
      <w:pPr/>
      <w:r>
        <w:rPr>
          <w:rFonts w:ascii="Arial" w:hAnsi="Arial" w:cs="Arial"/>
          <w:sz w:val="24"/>
          <w:sz-cs w:val="24"/>
        </w:rPr>
        <w:t xml:space="preserve"/>
      </w:r>
    </w:p>
    <w:p>
      <w:pPr/>
      <w:r>
        <w:rPr>
          <w:rFonts w:ascii="Arial" w:hAnsi="Arial" w:cs="Arial"/>
          <w:sz w:val="24"/>
          <w:sz-cs w:val="24"/>
        </w:rPr>
        <w:t xml:space="preserve">Through this report, we aim to present concrete and tangible examples of ESG initiatives and provide a foundation for discussion on the role of ESG in the private equity business model. We welcome your feedback and insights.</w:t>
      </w:r>
    </w:p>
    <w:p>
      <w:pPr/>
      <w:r>
        <w:rPr>
          <w:rFonts w:ascii="Arial" w:hAnsi="Arial" w:cs="Arial"/>
          <w:sz w:val="24"/>
          <w:sz-cs w:val="24"/>
        </w:rPr>
        <w:t xml:space="preserve"/>
      </w:r>
    </w:p>
    <w:p>
      <w:pPr>
        <w:jc w:val="right"/>
      </w:pPr>
      <w:r>
        <w:rPr>
          <w:rFonts w:ascii="Arial" w:hAnsi="Arial" w:cs="Arial"/>
          <w:sz w:val="24"/>
          <w:sz-cs w:val="24"/>
        </w:rPr>
        <w:t xml:space="preserve">Heuigon Song</w:t>
      </w:r>
    </w:p>
    <w:p>
      <w:pPr>
        <w:jc w:val="right"/>
      </w:pPr>
      <w:r>
        <w:rPr>
          <w:rFonts w:ascii="Arial" w:hAnsi="Arial" w:cs="Arial"/>
          <w:sz w:val="24"/>
          <w:sz-cs w:val="24"/>
        </w:rPr>
        <w:t xml:space="preserve">Editor</w:t>
      </w:r>
    </w:p>
    <w:p>
      <w:pPr/>
      <w:r>
        <w:rPr>
          <w:rFonts w:ascii="Times" w:hAnsi="Times" w:cs="Times"/>
          <w:sz w:val="24"/>
          <w:sz-cs w:val="24"/>
        </w:rPr>
        <w:t xml:space="preserve"/>
        <w:br w:type="page"/>
        <w:t xml:space="preserve"/>
      </w:r>
    </w:p>
    <w:p>
      <w:pPr/>
      <w:r>
        <w:rPr>
          <w:rFonts w:ascii="Times" w:hAnsi="Times" w:cs="Times"/>
          <w:sz w:val="24"/>
          <w:sz-cs w:val="24"/>
        </w:rPr>
        <w:t xml:space="preserve">Credits</w:t>
      </w:r>
    </w:p>
    <w:p>
      <w:pPr/>
      <w:r>
        <w:rPr>
          <w:rFonts w:ascii="Times" w:hAnsi="Times" w:cs="Times"/>
          <w:sz w:val="24"/>
          <w:sz-cs w:val="24"/>
        </w:rPr>
        <w:t xml:space="preserve"/>
      </w:r>
    </w:p>
    <w:p>
      <w:pPr/>
      <w:r>
        <w:rPr>
          <w:rFonts w:ascii="Times" w:hAnsi="Times" w:cs="Times"/>
          <w:sz w:val="24"/>
          <w:sz-cs w:val="24"/>
        </w:rPr>
        <w:t xml:space="preserve">Direction</w:t>
        <w:tab/>
        <w:t xml:space="preserve"/>
        <w:tab/>
        <w:t xml:space="preserve">Junko Katayanagi,</w:t>
      </w:r>
      <w:r>
        <w:rPr>
          <w:rFonts w:ascii="Hiragino Mincho ProN" w:hAnsi="Hiragino Mincho ProN" w:cs="Hiragino Mincho ProN"/>
          <w:sz w:val="24"/>
          <w:sz-cs w:val="24"/>
        </w:rPr>
        <w:t xml:space="preserve">　</w:t>
      </w:r>
      <w:r>
        <w:rPr>
          <w:rFonts w:ascii="Times" w:hAnsi="Times" w:cs="Times"/>
          <w:sz w:val="24"/>
          <w:sz-cs w:val="24"/>
        </w:rPr>
        <w:t xml:space="preserve">Heuigon Song</w:t>
      </w:r>
    </w:p>
    <w:p>
      <w:pPr/>
      <w:r>
        <w:rPr>
          <w:rFonts w:ascii="Times" w:hAnsi="Times" w:cs="Times"/>
          <w:sz w:val="24"/>
          <w:sz-cs w:val="24"/>
        </w:rPr>
        <w:t xml:space="preserve">Content</w:t>
        <w:tab/>
        <w:t xml:space="preserve"/>
        <w:tab/>
        <w:t xml:space="preserve">Junko Katayanagi,</w:t>
      </w:r>
      <w:r>
        <w:rPr>
          <w:rFonts w:ascii="Hiragino Mincho ProN" w:hAnsi="Hiragino Mincho ProN" w:cs="Hiragino Mincho ProN"/>
          <w:sz w:val="24"/>
          <w:sz-cs w:val="24"/>
        </w:rPr>
        <w:t xml:space="preserve">　</w:t>
      </w:r>
      <w:r>
        <w:rPr>
          <w:rFonts w:ascii="Times" w:hAnsi="Times" w:cs="Times"/>
          <w:sz w:val="24"/>
          <w:sz-cs w:val="24"/>
        </w:rPr>
        <w:t xml:space="preserve">Sarah Berlow,</w:t>
      </w:r>
      <w:r>
        <w:rPr>
          <w:rFonts w:ascii="Hiragino Mincho ProN" w:hAnsi="Hiragino Mincho ProN" w:cs="Hiragino Mincho ProN"/>
          <w:sz w:val="24"/>
          <w:sz-cs w:val="24"/>
        </w:rPr>
        <w:t xml:space="preserve">　</w:t>
      </w:r>
      <w:r>
        <w:rPr>
          <w:rFonts w:ascii="Times" w:hAnsi="Times" w:cs="Times"/>
          <w:sz w:val="24"/>
          <w:sz-cs w:val="24"/>
        </w:rPr>
        <w:t xml:space="preserve">Yash Khemaney,</w:t>
      </w:r>
      <w:r>
        <w:rPr>
          <w:rFonts w:ascii="Hiragino Mincho ProN" w:hAnsi="Hiragino Mincho ProN" w:cs="Hiragino Mincho ProN"/>
          <w:sz w:val="24"/>
          <w:sz-cs w:val="24"/>
        </w:rPr>
        <w:t xml:space="preserve">　</w:t>
      </w:r>
      <w:r>
        <w:rPr>
          <w:rFonts w:ascii="Times" w:hAnsi="Times" w:cs="Times"/>
          <w:sz w:val="24"/>
          <w:sz-cs w:val="24"/>
        </w:rPr>
        <w:t xml:space="preserve">Osamu Yamamoto</w:t>
      </w:r>
      <w:r>
        <w:rPr>
          <w:rFonts w:ascii="Hiragino Mincho ProN" w:hAnsi="Hiragino Mincho ProN" w:cs="Hiragino Mincho ProN"/>
          <w:sz w:val="24"/>
          <w:sz-cs w:val="24"/>
        </w:rPr>
        <w:t xml:space="preserve">　</w:t>
      </w:r>
      <w:r>
        <w:rPr>
          <w:rFonts w:ascii="Times" w:hAnsi="Times" w:cs="Times"/>
          <w:sz w:val="24"/>
          <w:sz-cs w:val="24"/>
        </w:rPr>
        <w:t xml:space="preserve">Heuigon Song, Rahul Bhasin</w:t>
      </w:r>
    </w:p>
    <w:p>
      <w:pPr/>
      <w:r>
        <w:rPr>
          <w:rFonts w:ascii="Times" w:hAnsi="Times" w:cs="Times"/>
          <w:sz w:val="24"/>
          <w:sz-cs w:val="24"/>
        </w:rPr>
        <w:t xml:space="preserve">Creative</w:t>
        <w:tab/>
        <w:t xml:space="preserve"/>
        <w:tab/>
        <w:t xml:space="preserve">kome inc.,</w:t>
      </w:r>
      <w:r>
        <w:rPr>
          <w:rFonts w:ascii="Hiragino Mincho ProN" w:hAnsi="Hiragino Mincho ProN" w:cs="Hiragino Mincho ProN"/>
          <w:sz w:val="24"/>
          <w:sz-cs w:val="24"/>
        </w:rPr>
        <w:t xml:space="preserve">　</w:t>
      </w:r>
      <w:r>
        <w:rPr>
          <w:rFonts w:ascii="Times" w:hAnsi="Times" w:cs="Times"/>
          <w:sz w:val="24"/>
          <w:sz-cs w:val="24"/>
        </w:rPr>
        <w:t xml:space="preserve">Kazumi Yasumatsu</w:t>
      </w:r>
      <w:r>
        <w:rPr>
          <w:rFonts w:ascii="Hiragino Mincho ProN" w:hAnsi="Hiragino Mincho ProN" w:cs="Hiragino Mincho ProN"/>
          <w:sz w:val="24"/>
          <w:sz-cs w:val="24"/>
        </w:rPr>
        <w:t xml:space="preserve">（読み方合っていますでしょうか）</w:t>
      </w:r>
      <w:r>
        <w:rPr>
          <w:rFonts w:ascii="Times" w:hAnsi="Times" w:cs="Times"/>
          <w:sz w:val="24"/>
          <w:sz-cs w:val="24"/>
        </w:rPr>
        <w:t xml:space="preserve"/>
      </w:r>
    </w:p>
    <w:sectPr>
      <w:pgSz w:w="11900" w:h="16840"/>
      <w:pgMar w:top="1985" w:right="1701" w:bottom="1701" w:left="1701"/>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