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f3a: k_all ~ democratic_support items</w:t>
      </w:r>
    </w:p>
    <w:tbl>
      <w:tblPr>
        <w:tblStyle w:val="Table"/>
        <w:tblW w:type="pct" w:w="4667"/>
        <w:tblLayout w:type="fixed"/>
        <w:tblLook w:firstRow="1" w:lastRow="1" w:firstColumn="0" w:lastColumn="0" w:noHBand="0" w:noVBand="0" w:val="0020"/>
        <w:tblCaption w:val="Table f3a: k_all ~ democratic_support items"/>
      </w:tblPr>
      <w:tblGrid>
        <w:gridCol w:w="2288"/>
        <w:gridCol w:w="528"/>
        <w:gridCol w:w="469"/>
        <w:gridCol w:w="528"/>
        <w:gridCol w:w="528"/>
        <w:gridCol w:w="469"/>
        <w:gridCol w:w="586"/>
        <w:gridCol w:w="469"/>
        <w:gridCol w:w="528"/>
        <w:gridCol w:w="528"/>
        <w:gridCol w:w="46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Freedom of Expression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Freedom of Association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-0.167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-0.145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Suffrage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-0.097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and Fair Elections</w:t>
            </w:r>
          </w:p>
        </w:tc>
        <w:tc>
          <w:tcPr/>
          <w:p>
            <w:pPr>
              <w:pStyle w:val="Compact"/>
            </w:pPr>
            <w:r>
              <w:t xml:space="preserve">-0.152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-0.316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-0.192*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-0.356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Judicial Constraints on Executive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-0.192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0.538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-0.192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Legislative Constraints on Executive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-0.136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-0.083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Equality Before the Law</w:t>
            </w:r>
          </w:p>
        </w:tc>
        <w:tc>
          <w:tcPr/>
          <w:p>
            <w:pPr>
              <w:pStyle w:val="Compact"/>
            </w:pPr>
            <w:r>
              <w:t xml:space="preserve">-0.070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-0.219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-0.093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-0.224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2026-05-12T12:42:35Z</dcterms:created>
  <dcterms:modified xsi:type="dcterms:W3CDTF">2026-05-12T12:42:35Z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