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3"/>
        <w:tblLayout w:type="fixed"/>
        <w:tblLook w:firstRow="1" w:lastRow="1" w:firstColumn="0" w:lastColumn="0" w:noHBand="0" w:noVBand="0" w:val="0020"/>
      </w:tblPr>
      <w:tblGrid>
        <w:gridCol w:w="1857"/>
        <w:gridCol w:w="1075"/>
        <w:gridCol w:w="782"/>
        <w:gridCol w:w="1466"/>
        <w:gridCol w:w="1564"/>
        <w:gridCol w:w="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Higher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General Stress ~ K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-0.128*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-0.243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Controls</w:t>
            </w:r>
          </w:p>
        </w:tc>
        <w:tc>
          <w:tcPr/>
          <w:p>
            <w:pPr>
              <w:pStyle w:val="Compact"/>
            </w:pPr>
            <w:r>
              <w:t xml:space="preserve">-0.139*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-0.254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Depression Score ~ K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-0.195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Controls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-0.189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General Health ~ K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-0.182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Controls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0.671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Health Costs Due to Politics ~ K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Controls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Models control for locality of residence, age, gender, education, and</w:t>
            </w:r>
            <w:r>
              <w:t xml:space="preserve"> </w:t>
            </w:r>
            <w:r>
              <w:t xml:space="preserve">general effort capacity. All continuous variables z-scored.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2026-05-12T12:42:50Z</dcterms:created>
  <dcterms:modified xsi:type="dcterms:W3CDTF">2026-05-12T12:42:50Z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