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40"/>
        <w:tblLayout w:type="fixed"/>
        <w:tblLook w:firstRow="1" w:lastRow="0" w:firstColumn="0" w:lastColumn="0" w:noHBand="0" w:noVBand="0" w:val="0020"/>
      </w:tblPr>
      <w:tblGrid>
        <w:gridCol w:w="3864"/>
        <w:gridCol w:w="760"/>
        <w:gridCol w:w="506"/>
        <w:gridCol w:w="950"/>
        <w:gridCol w:w="1013"/>
        <w:gridCol w:w="5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Predictor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95% CI Lower</w:t>
            </w:r>
          </w:p>
        </w:tc>
        <w:tc>
          <w:tcPr/>
          <w:p>
            <w:pPr>
              <w:pStyle w:val="Compact"/>
            </w:pPr>
            <w:r>
              <w:t xml:space="preserve">95% CI Higher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 (Underestimators, Control)</w:t>
            </w:r>
          </w:p>
        </w:tc>
        <w:tc>
          <w:tcPr/>
          <w:p>
            <w:pPr>
              <w:pStyle w:val="Compact"/>
            </w:pPr>
            <w:r>
              <w:t xml:space="preserve">0.146*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  <w:r>
              <w:t xml:space="preserve">0.021</w:t>
            </w:r>
          </w:p>
        </w:tc>
        <w:tc>
          <w:tcPr/>
          <w:p>
            <w:pPr>
              <w:pStyle w:val="Compact"/>
            </w:pPr>
            <w:r>
              <w:t xml:space="preserve">0.271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vs. Control</w:t>
            </w:r>
          </w:p>
        </w:tc>
        <w:tc>
          <w:tcPr/>
          <w:p>
            <w:pPr>
              <w:pStyle w:val="Compact"/>
            </w:pPr>
            <w:r>
              <w:t xml:space="preserve">-0.206*</w:t>
            </w:r>
          </w:p>
        </w:tc>
        <w:tc>
          <w:tcPr/>
          <w:p>
            <w:pPr>
              <w:pStyle w:val="Compact"/>
            </w:pPr>
            <w:r>
              <w:t xml:space="preserve">0.085</w:t>
            </w:r>
          </w:p>
        </w:tc>
        <w:tc>
          <w:tcPr/>
          <w:p>
            <w:pPr>
              <w:pStyle w:val="Compact"/>
            </w:pPr>
            <w:r>
              <w:t xml:space="preserve">-0.373</w:t>
            </w:r>
          </w:p>
        </w:tc>
        <w:tc>
          <w:tcPr/>
          <w:p>
            <w:pPr>
              <w:pStyle w:val="Compact"/>
            </w:pPr>
            <w:r>
              <w:t xml:space="preserve">-0.039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Accurate vs. Underestimators</w:t>
            </w:r>
          </w:p>
        </w:tc>
        <w:tc>
          <w:tcPr/>
          <w:p>
            <w:pPr>
              <w:pStyle w:val="Compact"/>
            </w:pPr>
            <w:r>
              <w:t xml:space="preserve">-0.600***</w:t>
            </w:r>
          </w:p>
        </w:tc>
        <w:tc>
          <w:tcPr/>
          <w:p>
            <w:pPr>
              <w:pStyle w:val="Compact"/>
            </w:pPr>
            <w:r>
              <w:t xml:space="preserve">0.157</w:t>
            </w:r>
          </w:p>
        </w:tc>
        <w:tc>
          <w:tcPr/>
          <w:p>
            <w:pPr>
              <w:pStyle w:val="Compact"/>
            </w:pPr>
            <w:r>
              <w:t xml:space="preserve">-0.909</w:t>
            </w:r>
          </w:p>
        </w:tc>
        <w:tc>
          <w:tcPr/>
          <w:p>
            <w:pPr>
              <w:pStyle w:val="Compact"/>
            </w:pPr>
            <w:r>
              <w:t xml:space="preserve">-0.291</w:t>
            </w:r>
          </w:p>
        </w:tc>
        <w:tc>
          <w:tcPr/>
          <w:p>
            <w:pPr>
              <w:pStyle w:val="Compact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Overestimators vs. Underestimators</w:t>
            </w:r>
          </w:p>
        </w:tc>
        <w:tc>
          <w:tcPr/>
          <w:p>
            <w:pPr>
              <w:pStyle w:val="Compact"/>
            </w:pPr>
            <w:r>
              <w:t xml:space="preserve">-0.627</w:t>
            </w:r>
          </w:p>
        </w:tc>
        <w:tc>
          <w:tcPr/>
          <w:p>
            <w:pPr>
              <w:pStyle w:val="Compact"/>
            </w:pPr>
            <w:r>
              <w:t xml:space="preserve">0.530</w:t>
            </w:r>
          </w:p>
        </w:tc>
        <w:tc>
          <w:tcPr/>
          <w:p>
            <w:pPr>
              <w:pStyle w:val="Compact"/>
            </w:pPr>
            <w:r>
              <w:t xml:space="preserve">-1.667</w:t>
            </w:r>
          </w:p>
        </w:tc>
        <w:tc>
          <w:tcPr/>
          <w:p>
            <w:pPr>
              <w:pStyle w:val="Compact"/>
            </w:pPr>
            <w:r>
              <w:t xml:space="preserve">0.413</w:t>
            </w:r>
          </w:p>
        </w:tc>
        <w:tc>
          <w:tcPr/>
          <w:p>
            <w:pPr>
              <w:pStyle w:val="Compact"/>
            </w:pPr>
            <w:r>
              <w:t xml:space="preserve">0.237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vs. Control × Accurate vs. Underestimators</w:t>
            </w:r>
          </w:p>
        </w:tc>
        <w:tc>
          <w:tcPr/>
          <w:p>
            <w:pPr>
              <w:pStyle w:val="Compact"/>
            </w:pPr>
            <w:r>
              <w:t xml:space="preserve">0.500*</w:t>
            </w:r>
          </w:p>
        </w:tc>
        <w:tc>
          <w:tcPr/>
          <w:p>
            <w:pPr>
              <w:pStyle w:val="Compact"/>
            </w:pPr>
            <w:r>
              <w:t xml:space="preserve">0.231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0.953</w:t>
            </w:r>
          </w:p>
        </w:tc>
        <w:tc>
          <w:tcPr/>
          <w:p>
            <w:pPr>
              <w:pStyle w:val="Compact"/>
            </w:pPr>
            <w:r>
              <w:t xml:space="preserve">0.030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Treatment vs. Control × Overestimators vs. Underestimators</w:t>
            </w:r>
          </w:p>
        </w:tc>
        <w:tc>
          <w:tcPr/>
          <w:p>
            <w:pPr>
              <w:pStyle w:val="Compact"/>
            </w:pPr>
            <w:r>
              <w:t xml:space="preserve">0.626</w:t>
            </w:r>
          </w:p>
        </w:tc>
        <w:tc>
          <w:tcPr/>
          <w:p>
            <w:pPr>
              <w:pStyle w:val="Compact"/>
            </w:pPr>
            <w:r>
              <w:t xml:space="preserve">0.704</w:t>
            </w:r>
          </w:p>
        </w:tc>
        <w:tc>
          <w:tcPr/>
          <w:p>
            <w:pPr>
              <w:pStyle w:val="Compact"/>
            </w:pPr>
            <w:r>
              <w:t xml:space="preserve">-0.756</w:t>
            </w:r>
          </w:p>
        </w:tc>
        <w:tc>
          <w:tcPr/>
          <w:p>
            <w:pPr>
              <w:pStyle w:val="Compact"/>
            </w:pPr>
            <w:r>
              <w:t xml:space="preserve">2.008</w:t>
            </w:r>
          </w:p>
        </w:tc>
        <w:tc>
          <w:tcPr/>
          <w:p>
            <w:pPr>
              <w:pStyle w:val="Compact"/>
            </w:pPr>
            <w:r>
              <w:t xml:space="preserve">0.374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2026-05-14T15:50:03Z</dcterms:created>
  <dcterms:modified xsi:type="dcterms:W3CDTF">2026-05-14T15:50:03Z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