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H2A: ATE on In-Group Favouritism</w:t>
      </w:r>
    </w:p>
    <w:tbl>
      <w:tblPr>
        <w:tblStyle w:val="Table"/>
        <w:tblW w:type="pct" w:w="4722"/>
        <w:tblLayout w:type="fixed"/>
        <w:tblLook w:firstRow="1" w:lastRow="1" w:firstColumn="0" w:lastColumn="0" w:noHBand="0" w:noVBand="0" w:val="0020"/>
        <w:tblCaption w:val="Table H2A: ATE on In-Group Favouritism"/>
      </w:tblPr>
      <w:tblGrid>
        <w:gridCol w:w="2640"/>
        <w:gridCol w:w="1100"/>
        <w:gridCol w:w="880"/>
        <w:gridCol w:w="990"/>
        <w:gridCol w:w="99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H2A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 (Control)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0.227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vs. Control</w:t>
            </w:r>
          </w:p>
        </w:tc>
        <w:tc>
          <w:tcPr/>
          <w:p>
            <w:pPr>
              <w:pStyle w:val="Compact"/>
            </w:pPr>
            <w:r>
              <w:t xml:space="preserve">-0.205*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  <w:r>
              <w:t xml:space="preserve">-0.372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2026-05-14T15:47:06Z</dcterms:created>
  <dcterms:modified xsi:type="dcterms:W3CDTF">2026-05-14T15:47:06Z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