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H3C (Exploratory): Baseline Misperceptions and In-Group Favouritism</w:t>
      </w:r>
    </w:p>
    <w:tbl>
      <w:tblPr>
        <w:tblStyle w:val="Table"/>
        <w:tblW w:type="pct" w:w="4767"/>
        <w:tblLayout w:type="fixed"/>
        <w:tblLook w:firstRow="1" w:lastRow="1" w:firstColumn="0" w:lastColumn="0" w:noHBand="0" w:noVBand="0" w:val="0020"/>
        <w:tblCaption w:val="Table H3C (Exploratory): Baseline Misperceptions and In-Group Favouritism"/>
      </w:tblPr>
      <w:tblGrid>
        <w:gridCol w:w="3407"/>
        <w:gridCol w:w="1013"/>
        <w:gridCol w:w="736"/>
        <w:gridCol w:w="828"/>
        <w:gridCol w:w="828"/>
        <w:gridCol w:w="73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H3C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(Control)</w:t>
            </w:r>
          </w:p>
        </w:tc>
        <w:tc>
          <w:tcPr/>
          <w:p>
            <w:pPr>
              <w:pStyle w:val="Compact"/>
            </w:pPr>
            <w:r>
              <w:t xml:space="preserve">-0.236*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-0.468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Deviation (Misperception Strength)</w:t>
            </w:r>
          </w:p>
        </w:tc>
        <w:tc>
          <w:tcPr/>
          <w:p>
            <w:pPr>
              <w:pStyle w:val="Compact"/>
            </w:pPr>
            <w:r>
              <w:t xml:space="preserve">-0.183**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-0.302</w:t>
            </w:r>
          </w:p>
        </w:tc>
        <w:tc>
          <w:tcPr/>
          <w:p>
            <w:pPr>
              <w:pStyle w:val="Compact"/>
            </w:pPr>
            <w:r>
              <w:t xml:space="preserve">-0.064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</w:t>
            </w:r>
          </w:p>
        </w:tc>
        <w:tc>
          <w:tcPr/>
          <w:p>
            <w:pPr>
              <w:pStyle w:val="Compact"/>
            </w:pPr>
            <w:r>
              <w:t xml:space="preserve">-0.195*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-0.360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2026-05-14T15:47:06Z</dcterms:created>
  <dcterms:modified xsi:type="dcterms:W3CDTF">2026-05-14T15:47:06Z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