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52"/>
        <w:tblLayout w:type="fixed"/>
        <w:tblLook w:firstRow="1" w:lastRow="1" w:firstColumn="0" w:lastColumn="0" w:noHBand="0" w:noVBand="0" w:val="0020"/>
      </w:tblPr>
      <w:tblGrid>
        <w:gridCol w:w="2509"/>
        <w:gridCol w:w="705"/>
        <w:gridCol w:w="627"/>
        <w:gridCol w:w="1254"/>
        <w:gridCol w:w="1254"/>
        <w:gridCol w:w="627"/>
        <w:gridCol w:w="5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-0.242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-0.404</w:t>
            </w:r>
          </w:p>
        </w:tc>
        <w:tc>
          <w:tcPr/>
          <w:p>
            <w:pPr>
              <w:pStyle w:val="Compact"/>
            </w:pPr>
            <w:r>
              <w:t xml:space="preserve">-0.083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(vs. Undemocratic)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-0.146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6846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-0.141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-0.194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-0.230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5328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SD(Intercept)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8453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Note. Model controls for conjoint attributes: candidate sex, age, political party, and</w:t>
            </w:r>
            <w:r>
              <w:t xml:space="preserve"> </w:t>
            </w:r>
            <w:r>
              <w:t xml:space="preserve">economic reputation.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2026-10-15T13:59:40Z</dcterms:created>
  <dcterms:modified xsi:type="dcterms:W3CDTF">2026-10-15T13:59:40Z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