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17"/>
        <w:tblLayout w:type="fixed"/>
        <w:tblLook w:firstRow="1" w:lastRow="1" w:firstColumn="0" w:lastColumn="0" w:noHBand="0" w:noVBand="0" w:val="0020"/>
      </w:tblPr>
      <w:tblGrid>
        <w:gridCol w:w="896"/>
        <w:gridCol w:w="1793"/>
        <w:gridCol w:w="672"/>
        <w:gridCol w:w="597"/>
        <w:gridCol w:w="1195"/>
        <w:gridCol w:w="1195"/>
        <w:gridCol w:w="597"/>
        <w:gridCol w:w="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Political Participation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6434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6373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6092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Age (z)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4227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Age × Hope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4675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Age × Anxiety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-0.048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4446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Interest in Democratic Involvement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2.163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2.031</w:t>
            </w:r>
          </w:p>
        </w:tc>
        <w:tc>
          <w:tcPr/>
          <w:p>
            <w:pPr>
              <w:pStyle w:val="Compact"/>
            </w:pPr>
            <w:r>
              <w:t xml:space="preserve">2.297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  <w:tc>
          <w:tcPr/>
          <w:p>
            <w:pPr>
              <w:pStyle w:val="Compact"/>
            </w:pPr>
            <w:r>
              <w:t xml:space="preserve">0.763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-0.201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-0.115</w:t>
            </w:r>
          </w:p>
        </w:tc>
        <w:tc>
          <w:tcPr/>
          <w:p>
            <w:pPr>
              <w:pStyle w:val="Compact"/>
            </w:pPr>
            <w:r>
              <w:t xml:space="preserve">0.253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Age (z)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Age × Hope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0.306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6206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Age × Anxiety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-0.084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-0.280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  <w:tc>
          <w:tcPr/>
          <w:p>
            <w:pPr>
              <w:pStyle w:val="Compact"/>
            </w:pPr>
            <w:r>
              <w:t xml:space="preserve">-0.506</w:t>
            </w:r>
          </w:p>
        </w:tc>
        <w:tc>
          <w:tcPr/>
          <w:p>
            <w:pPr>
              <w:pStyle w:val="Compact"/>
            </w:pPr>
            <w:r>
              <w:t xml:space="preserve">-0.042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-0.067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  <w:tc>
          <w:tcPr/>
          <w:p>
            <w:pPr>
              <w:pStyle w:val="Compact"/>
            </w:pPr>
            <w:r>
              <w:t xml:space="preserve">-0.316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8930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Age (z)</w:t>
            </w:r>
          </w:p>
        </w:tc>
        <w:tc>
          <w:tcPr/>
          <w:p>
            <w:pPr>
              <w:pStyle w:val="Compact"/>
            </w:pPr>
            <w:r>
              <w:t xml:space="preserve">-0.577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-0.747</w:t>
            </w:r>
          </w:p>
        </w:tc>
        <w:tc>
          <w:tcPr/>
          <w:p>
            <w:pPr>
              <w:pStyle w:val="Compact"/>
            </w:pPr>
            <w:r>
              <w:t xml:space="preserve">-0.406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Age × Hope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-0.168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Age × Anxiety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-0.164</w:t>
            </w:r>
          </w:p>
        </w:tc>
        <w:tc>
          <w:tcPr/>
          <w:p>
            <w:pPr>
              <w:pStyle w:val="Compact"/>
            </w:pPr>
            <w:r>
              <w:t xml:space="preserve">0.310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7207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Note. Age was standardised (M = 21.7, SD = 3.0 years), so coefficients involving age are per</w:t>
            </w:r>
            <w:r>
              <w:t xml:space="preserve"> </w:t>
            </w:r>
            <w:r>
              <w:t xml:space="preserve">standard deviation of age. mu = log-normal component (time spent viewing); hu = hurdle component</w:t>
            </w:r>
            <w:r>
              <w:t xml:space="preserve"> </w:t>
            </w:r>
            <w:r>
              <w:t xml:space="preserve">(probability of not viewing).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2026-10-15T14:04:11Z</dcterms:created>
  <dcterms:modified xsi:type="dcterms:W3CDTF">2026-10-15T14:04:11Z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