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06"/>
        <w:tblLayout w:type="fixed"/>
        <w:tblLook w:firstRow="1" w:lastRow="0" w:firstColumn="0" w:lastColumn="0" w:noHBand="0" w:noVBand="0" w:val="0020"/>
      </w:tblPr>
      <w:tblGrid>
        <w:gridCol w:w="1863"/>
        <w:gridCol w:w="745"/>
        <w:gridCol w:w="1118"/>
        <w:gridCol w:w="745"/>
        <w:gridCol w:w="1118"/>
        <w:gridCol w:w="745"/>
        <w:gridCol w:w="111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Anxiety (N=633)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Hope (N=631)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Control (N=631)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Anxiety-Hope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Rating</w:t>
            </w:r>
          </w:p>
        </w:tc>
        <w:tc>
          <w:tcPr/>
          <w:p>
            <w:pPr>
              <w:pStyle w:val="Compact"/>
            </w:pPr>
            <w:r>
              <w:t xml:space="preserve">61.11</w:t>
            </w:r>
          </w:p>
        </w:tc>
        <w:tc>
          <w:tcPr/>
          <w:p>
            <w:pPr>
              <w:pStyle w:val="Compact"/>
            </w:pPr>
            <w:r>
              <w:t xml:space="preserve">26.91</w:t>
            </w:r>
          </w:p>
        </w:tc>
        <w:tc>
          <w:tcPr/>
          <w:p>
            <w:pPr>
              <w:pStyle w:val="Compact"/>
            </w:pPr>
            <w:r>
              <w:t xml:space="preserve">42.86</w:t>
            </w:r>
          </w:p>
        </w:tc>
        <w:tc>
          <w:tcPr/>
          <w:p>
            <w:pPr>
              <w:pStyle w:val="Compact"/>
            </w:pPr>
            <w:r>
              <w:t xml:space="preserve">27.91</w:t>
            </w:r>
          </w:p>
        </w:tc>
        <w:tc>
          <w:tcPr/>
          <w:p>
            <w:pPr>
              <w:pStyle w:val="Compact"/>
            </w:pPr>
            <w:r>
              <w:t xml:space="preserve">47.16</w:t>
            </w:r>
          </w:p>
        </w:tc>
        <w:tc>
          <w:tcPr/>
          <w:p>
            <w:pPr>
              <w:pStyle w:val="Compact"/>
            </w:pPr>
            <w:r>
              <w:t xml:space="preserve">27.41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Angry Rating</w:t>
            </w:r>
          </w:p>
        </w:tc>
        <w:tc>
          <w:tcPr/>
          <w:p>
            <w:pPr>
              <w:pStyle w:val="Compact"/>
            </w:pPr>
            <w:r>
              <w:t xml:space="preserve">55.97</w:t>
            </w:r>
          </w:p>
        </w:tc>
        <w:tc>
          <w:tcPr/>
          <w:p>
            <w:pPr>
              <w:pStyle w:val="Compact"/>
            </w:pPr>
            <w:r>
              <w:t xml:space="preserve">28.84</w:t>
            </w:r>
          </w:p>
        </w:tc>
        <w:tc>
          <w:tcPr/>
          <w:p>
            <w:pPr>
              <w:pStyle w:val="Compact"/>
            </w:pPr>
            <w:r>
              <w:t xml:space="preserve">37.82</w:t>
            </w:r>
          </w:p>
        </w:tc>
        <w:tc>
          <w:tcPr/>
          <w:p>
            <w:pPr>
              <w:pStyle w:val="Compact"/>
            </w:pPr>
            <w:r>
              <w:t xml:space="preserve">29.26</w:t>
            </w:r>
          </w:p>
        </w:tc>
        <w:tc>
          <w:tcPr/>
          <w:p>
            <w:pPr>
              <w:pStyle w:val="Compact"/>
            </w:pPr>
            <w:r>
              <w:t xml:space="preserve">40.10</w:t>
            </w:r>
          </w:p>
        </w:tc>
        <w:tc>
          <w:tcPr/>
          <w:p>
            <w:pPr>
              <w:pStyle w:val="Compact"/>
            </w:pPr>
            <w:r>
              <w:t xml:space="preserve">29.37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Hopeful Rating</w:t>
            </w:r>
          </w:p>
        </w:tc>
        <w:tc>
          <w:tcPr/>
          <w:p>
            <w:pPr>
              <w:pStyle w:val="Compact"/>
            </w:pPr>
            <w:r>
              <w:t xml:space="preserve">41.82</w:t>
            </w:r>
          </w:p>
        </w:tc>
        <w:tc>
          <w:tcPr/>
          <w:p>
            <w:pPr>
              <w:pStyle w:val="Compact"/>
            </w:pPr>
            <w:r>
              <w:t xml:space="preserve">29.80</w:t>
            </w:r>
          </w:p>
        </w:tc>
        <w:tc>
          <w:tcPr/>
          <w:p>
            <w:pPr>
              <w:pStyle w:val="Compact"/>
            </w:pPr>
            <w:r>
              <w:t xml:space="preserve">57.38</w:t>
            </w:r>
          </w:p>
        </w:tc>
        <w:tc>
          <w:tcPr/>
          <w:p>
            <w:pPr>
              <w:pStyle w:val="Compact"/>
            </w:pPr>
            <w:r>
              <w:t xml:space="preserve">28.56</w:t>
            </w:r>
          </w:p>
        </w:tc>
        <w:tc>
          <w:tcPr/>
          <w:p>
            <w:pPr>
              <w:pStyle w:val="Compact"/>
            </w:pPr>
            <w:r>
              <w:t xml:space="preserve">56.16</w:t>
            </w:r>
          </w:p>
        </w:tc>
        <w:tc>
          <w:tcPr/>
          <w:p>
            <w:pPr>
              <w:pStyle w:val="Compact"/>
            </w:pPr>
            <w:r>
              <w:t xml:space="preserve">27.25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Happy Rating</w:t>
            </w:r>
          </w:p>
        </w:tc>
        <w:tc>
          <w:tcPr/>
          <w:p>
            <w:pPr>
              <w:pStyle w:val="Compact"/>
            </w:pPr>
            <w:r>
              <w:t xml:space="preserve">36.08</w:t>
            </w:r>
          </w:p>
        </w:tc>
        <w:tc>
          <w:tcPr/>
          <w:p>
            <w:pPr>
              <w:pStyle w:val="Compact"/>
            </w:pPr>
            <w:r>
              <w:t xml:space="preserve">29.67</w:t>
            </w:r>
          </w:p>
        </w:tc>
        <w:tc>
          <w:tcPr/>
          <w:p>
            <w:pPr>
              <w:pStyle w:val="Compact"/>
            </w:pPr>
            <w:r>
              <w:t xml:space="preserve">53.09</w:t>
            </w:r>
          </w:p>
        </w:tc>
        <w:tc>
          <w:tcPr/>
          <w:p>
            <w:pPr>
              <w:pStyle w:val="Compact"/>
            </w:pPr>
            <w:r>
              <w:t xml:space="preserve">28.40</w:t>
            </w:r>
          </w:p>
        </w:tc>
        <w:tc>
          <w:tcPr/>
          <w:p>
            <w:pPr>
              <w:pStyle w:val="Compact"/>
            </w:pPr>
            <w:r>
              <w:t xml:space="preserve">51.57</w:t>
            </w:r>
          </w:p>
        </w:tc>
        <w:tc>
          <w:tcPr/>
          <w:p>
            <w:pPr>
              <w:pStyle w:val="Compact"/>
            </w:pPr>
            <w:r>
              <w:t xml:space="preserve">28.42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Calm Rating</w:t>
            </w:r>
          </w:p>
        </w:tc>
        <w:tc>
          <w:tcPr/>
          <w:p>
            <w:pPr>
              <w:pStyle w:val="Compact"/>
            </w:pPr>
            <w:r>
              <w:t xml:space="preserve">38.29</w:t>
            </w:r>
          </w:p>
        </w:tc>
        <w:tc>
          <w:tcPr/>
          <w:p>
            <w:pPr>
              <w:pStyle w:val="Compact"/>
            </w:pPr>
            <w:r>
              <w:t xml:space="preserve">28.96</w:t>
            </w:r>
          </w:p>
        </w:tc>
        <w:tc>
          <w:tcPr/>
          <w:p>
            <w:pPr>
              <w:pStyle w:val="Compact"/>
            </w:pPr>
            <w:r>
              <w:t xml:space="preserve">53.56</w:t>
            </w:r>
          </w:p>
        </w:tc>
        <w:tc>
          <w:tcPr/>
          <w:p>
            <w:pPr>
              <w:pStyle w:val="Compact"/>
            </w:pPr>
            <w:r>
              <w:t xml:space="preserve">27.70</w:t>
            </w:r>
          </w:p>
        </w:tc>
        <w:tc>
          <w:tcPr/>
          <w:p>
            <w:pPr>
              <w:pStyle w:val="Compact"/>
            </w:pPr>
            <w:r>
              <w:t xml:space="preserve">50.46</w:t>
            </w:r>
          </w:p>
        </w:tc>
        <w:tc>
          <w:tcPr/>
          <w:p>
            <w:pPr>
              <w:pStyle w:val="Compact"/>
            </w:pPr>
            <w:r>
              <w:t xml:space="preserve">27.82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 Sentiment</w:t>
            </w:r>
          </w:p>
        </w:tc>
        <w:tc>
          <w:tcPr/>
          <w:p>
            <w:pPr>
              <w:pStyle w:val="Compact"/>
            </w:pPr>
            <w:r>
              <w:t xml:space="preserve">2.93</w:t>
            </w:r>
          </w:p>
        </w:tc>
        <w:tc>
          <w:tcPr/>
          <w:p>
            <w:pPr>
              <w:pStyle w:val="Compact"/>
            </w:pPr>
            <w:r>
              <w:t xml:space="preserve">1.61</w:t>
            </w:r>
          </w:p>
        </w:tc>
        <w:tc>
          <w:tcPr/>
          <w:p>
            <w:pPr>
              <w:pStyle w:val="Compact"/>
            </w:pPr>
            <w:r>
              <w:t xml:space="preserve">4.17</w:t>
            </w:r>
          </w:p>
        </w:tc>
        <w:tc>
          <w:tcPr/>
          <w:p>
            <w:pPr>
              <w:pStyle w:val="Compact"/>
            </w:pPr>
            <w:r>
              <w:t xml:space="preserve">1.88</w:t>
            </w:r>
          </w:p>
        </w:tc>
        <w:tc>
          <w:tcPr/>
          <w:p>
            <w:pPr>
              <w:pStyle w:val="Compact"/>
            </w:pPr>
            <w:r>
              <w:t xml:space="preserve">4.29</w:t>
            </w:r>
          </w:p>
        </w:tc>
        <w:tc>
          <w:tcPr/>
          <w:p>
            <w:pPr>
              <w:pStyle w:val="Compact"/>
            </w:pPr>
            <w:r>
              <w:t xml:space="preserve">1.79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2026-10-15T09:14:20Z</dcterms:created>
  <dcterms:modified xsi:type="dcterms:W3CDTF">2026-10-15T09:14:20Z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