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3254"/>
        <w:gridCol w:w="976"/>
        <w:gridCol w:w="1735"/>
        <w:gridCol w:w="17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(1 SD increase)</w:t>
            </w: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Democratic - Undemocratic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Economically bad - Neither</w:t>
            </w:r>
          </w:p>
        </w:tc>
        <w:tc>
          <w:tcPr/>
          <w:p>
            <w:pPr>
              <w:pStyle w:val="Compact"/>
            </w:pPr>
            <w:r>
              <w:t xml:space="preserve">-0.184</w:t>
            </w:r>
          </w:p>
        </w:tc>
        <w:tc>
          <w:tcPr/>
          <w:p>
            <w:pPr>
              <w:pStyle w:val="Compact"/>
            </w:pPr>
            <w:r>
              <w:t xml:space="preserve">-0.205</w:t>
            </w:r>
          </w:p>
        </w:tc>
        <w:tc>
          <w:tcPr/>
          <w:p>
            <w:pPr>
              <w:pStyle w:val="Compact"/>
            </w:pPr>
            <w:r>
              <w:t xml:space="preserve">-0.165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Economically good - Neither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Conservatives - Labour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Party - Labour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Liberal Democrats - Labour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Reform UK - Labour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-0.115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- Male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2026-04-22T13:46:35Z</dcterms:created>
  <dcterms:modified xsi:type="dcterms:W3CDTF">2026-04-22T13:46:35Z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