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69"/>
        <w:tblLayout w:type="fixed"/>
        <w:tblLook w:firstRow="1" w:lastRow="0" w:firstColumn="0" w:lastColumn="0" w:noHBand="0" w:noVBand="0" w:val="0020"/>
      </w:tblPr>
      <w:tblGrid>
        <w:gridCol w:w="1401"/>
        <w:gridCol w:w="2802"/>
        <w:gridCol w:w="548"/>
        <w:gridCol w:w="609"/>
        <w:gridCol w:w="487"/>
        <w:gridCol w:w="548"/>
        <w:gridCol w:w="548"/>
        <w:gridCol w:w="609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control (N=631)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hope (N=631)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anxiety (N=633)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Pct.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Pct.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323</w:t>
            </w:r>
          </w:p>
        </w:tc>
        <w:tc>
          <w:tcPr/>
          <w:p>
            <w:pPr>
              <w:pStyle w:val="Compact"/>
            </w:pPr>
            <w:r>
              <w:t xml:space="preserve">51.2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48.0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48.8</w:t>
            </w:r>
          </w:p>
        </w:tc>
        <w:tc>
          <w:tcPr/>
          <w:p>
            <w:pPr>
              <w:pStyle w:val="Compact"/>
            </w:pPr>
            <w:r>
              <w:t xml:space="preserve">328</w:t>
            </w:r>
          </w:p>
        </w:tc>
        <w:tc>
          <w:tcPr/>
          <w:p>
            <w:pPr>
              <w:pStyle w:val="Compact"/>
            </w:pPr>
            <w:r>
              <w:t xml:space="preserve">52.0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  <w:tc>
          <w:tcPr/>
          <w:p>
            <w:pPr>
              <w:pStyle w:val="Compact"/>
            </w:pPr>
            <w:r>
              <w:t xml:space="preserve">48.8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44.1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51.0</w:t>
            </w:r>
          </w:p>
        </w:tc>
        <w:tc>
          <w:tcPr/>
          <w:p>
            <w:pPr>
              <w:pStyle w:val="Compact"/>
            </w:pPr>
            <w:r>
              <w:t xml:space="preserve">312</w:t>
            </w:r>
          </w:p>
        </w:tc>
        <w:tc>
          <w:tcPr/>
          <w:p>
            <w:pPr>
              <w:pStyle w:val="Compact"/>
            </w:pPr>
            <w:r>
              <w:t xml:space="preserve">49.3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55.5</w:t>
            </w:r>
          </w:p>
        </w:tc>
        <w:tc>
          <w:tcPr/>
          <w:p>
            <w:pPr>
              <w:pStyle w:val="Compact"/>
            </w:pPr>
            <w:r>
              <w:t xml:space="preserve">304</w:t>
            </w:r>
          </w:p>
        </w:tc>
        <w:tc>
          <w:tcPr/>
          <w:p>
            <w:pPr>
              <w:pStyle w:val="Compact"/>
            </w:pPr>
            <w:r>
              <w:t xml:space="preserve">48.2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50.1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North East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North West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Yorkshire and The Humber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East Midlands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West Midlands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8.9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East of England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London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South East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South West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Wales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Scotland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Northern Ireland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Urbanicity</w:t>
            </w:r>
          </w:p>
        </w:tc>
        <w:tc>
          <w:tcPr/>
          <w:p>
            <w:pPr>
              <w:pStyle w:val="Compact"/>
            </w:pPr>
            <w:r>
              <w:t xml:space="preserve">a rural area or village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 small or middle size town</w:t>
            </w:r>
          </w:p>
        </w:tc>
        <w:tc>
          <w:tcPr/>
          <w:p>
            <w:pPr>
              <w:pStyle w:val="Compact"/>
            </w:pPr>
            <w:r>
              <w:t xml:space="preserve">243</w:t>
            </w:r>
          </w:p>
        </w:tc>
        <w:tc>
          <w:tcPr/>
          <w:p>
            <w:pPr>
              <w:pStyle w:val="Compact"/>
            </w:pPr>
            <w:r>
              <w:t xml:space="preserve">38.5</w:t>
            </w:r>
          </w:p>
        </w:tc>
        <w:tc>
          <w:tcPr/>
          <w:p>
            <w:pPr>
              <w:pStyle w:val="Compact"/>
            </w:pPr>
            <w:r>
              <w:t xml:space="preserve">243</w:t>
            </w:r>
          </w:p>
        </w:tc>
        <w:tc>
          <w:tcPr/>
          <w:p>
            <w:pPr>
              <w:pStyle w:val="Compact"/>
            </w:pPr>
            <w:r>
              <w:t xml:space="preserve">38.5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 large town or city</w:t>
            </w:r>
          </w:p>
        </w:tc>
        <w:tc>
          <w:tcPr/>
          <w:p>
            <w:pPr>
              <w:pStyle w:val="Compact"/>
            </w:pPr>
            <w:r>
              <w:t xml:space="preserve">304</w:t>
            </w:r>
          </w:p>
        </w:tc>
        <w:tc>
          <w:tcPr/>
          <w:p>
            <w:pPr>
              <w:pStyle w:val="Compact"/>
            </w:pPr>
            <w:r>
              <w:t xml:space="preserve">48.2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47.4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Level</w:t>
            </w:r>
          </w:p>
        </w:tc>
        <w:tc>
          <w:tcPr/>
          <w:p>
            <w:pPr>
              <w:pStyle w:val="Compact"/>
            </w:pPr>
            <w:r>
              <w:t xml:space="preserve">ISCED 0-2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ISCED 3-4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29.1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ISCED 5-8</w:t>
            </w:r>
          </w:p>
        </w:tc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50.4</w:t>
            </w:r>
          </w:p>
        </w:tc>
        <w:tc>
          <w:tcPr/>
          <w:p>
            <w:pPr>
              <w:pStyle w:val="Compact"/>
            </w:pPr>
            <w:r>
              <w:t xml:space="preserve">326</w:t>
            </w:r>
          </w:p>
        </w:tc>
        <w:tc>
          <w:tcPr/>
          <w:p>
            <w:pPr>
              <w:pStyle w:val="Compact"/>
            </w:pPr>
            <w:r>
              <w:t xml:space="preserve">51.7</w:t>
            </w:r>
          </w:p>
        </w:tc>
        <w:tc>
          <w:tcPr/>
          <w:p>
            <w:pPr>
              <w:pStyle w:val="Compact"/>
            </w:pPr>
            <w:r>
              <w:t xml:space="preserve">304</w:t>
            </w:r>
          </w:p>
        </w:tc>
        <w:tc>
          <w:tcPr/>
          <w:p>
            <w:pPr>
              <w:pStyle w:val="Compact"/>
            </w:pPr>
            <w:r>
              <w:t xml:space="preserve">48.0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 Background</w:t>
            </w:r>
          </w:p>
        </w:tc>
        <w:tc>
          <w:tcPr/>
          <w:p>
            <w:pPr>
              <w:pStyle w:val="Compact"/>
            </w:pPr>
            <w:r>
              <w:t xml:space="preserve">Migration background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37.6</w:t>
            </w:r>
          </w:p>
        </w:tc>
        <w:tc>
          <w:tcPr/>
          <w:p>
            <w:pPr>
              <w:pStyle w:val="Compact"/>
            </w:pPr>
            <w:r>
              <w:t xml:space="preserve">244</w:t>
            </w:r>
          </w:p>
        </w:tc>
        <w:tc>
          <w:tcPr/>
          <w:p>
            <w:pPr>
              <w:pStyle w:val="Compact"/>
            </w:pPr>
            <w:r>
              <w:t xml:space="preserve">38.7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39.0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migration background</w:t>
            </w:r>
          </w:p>
        </w:tc>
        <w:tc>
          <w:tcPr/>
          <w:p>
            <w:pPr>
              <w:pStyle w:val="Compact"/>
            </w:pPr>
            <w:r>
              <w:t xml:space="preserve">394</w:t>
            </w:r>
          </w:p>
        </w:tc>
        <w:tc>
          <w:tcPr/>
          <w:p>
            <w:pPr>
              <w:pStyle w:val="Compact"/>
            </w:pPr>
            <w:r>
              <w:t xml:space="preserve">62.4</w:t>
            </w:r>
          </w:p>
        </w:tc>
        <w:tc>
          <w:tcPr/>
          <w:p>
            <w:pPr>
              <w:pStyle w:val="Compact"/>
            </w:pPr>
            <w:r>
              <w:t xml:space="preserve">387</w:t>
            </w:r>
          </w:p>
        </w:tc>
        <w:tc>
          <w:tcPr/>
          <w:p>
            <w:pPr>
              <w:pStyle w:val="Compact"/>
            </w:pPr>
            <w:r>
              <w:t xml:space="preserve">61.3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  <w:tc>
          <w:tcPr/>
          <w:p>
            <w:pPr>
              <w:pStyle w:val="Compact"/>
            </w:pPr>
            <w:r>
              <w:t xml:space="preserve">61.0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Living Standard</w:t>
            </w:r>
          </w:p>
        </w:tc>
        <w:tc>
          <w:tcPr/>
          <w:p>
            <w:pPr>
              <w:pStyle w:val="Compact"/>
            </w:pPr>
            <w:r>
              <w:t xml:space="preserve">Living comfortably on present income</w:t>
            </w:r>
          </w:p>
        </w:tc>
        <w:tc>
          <w:tcPr/>
          <w:p>
            <w:pPr>
              <w:pStyle w:val="Compact"/>
            </w:pPr>
            <w:r>
              <w:t xml:space="preserve">227</w:t>
            </w:r>
          </w:p>
        </w:tc>
        <w:tc>
          <w:tcPr/>
          <w:p>
            <w:pPr>
              <w:pStyle w:val="Compact"/>
            </w:pPr>
            <w:r>
              <w:t xml:space="preserve">36.0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  <w:tc>
          <w:tcPr/>
          <w:p>
            <w:pPr>
              <w:pStyle w:val="Compact"/>
            </w:pPr>
            <w:r>
              <w:t xml:space="preserve">36.9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Coping on present income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42.8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Finding it difficult on present income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14.4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Finding it very difficult on present income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2026-04-23T09:36:34Z</dcterms:created>
  <dcterms:modified xsi:type="dcterms:W3CDTF">2026-04-23T09:36:34Z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