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14.png" ContentType="image/png"/>
  <Override PartName="/word/media/rId22.png" ContentType="image/png"/>
  <Override PartName="/word/media/rId26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Onboarding Fides as an MCP server in ServiceNow</w:t>
      </w:r>
    </w:p>
    <w:p>
      <w:pPr>
        <w:pStyle w:val="Subtitle"/>
      </w:pPr>
      <w:r>
        <w:t xml:space="preserve">Ground ServiceNow Now Assist in Fides tamper-evident compliance evidence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9" w:name="Xf267edd01b0da86841779f49088df34a7edfc50"/>
    <w:p>
      <w:pPr>
        <w:pStyle w:val="Heading1"/>
      </w:pPr>
      <w:r>
        <w:t xml:space="preserve">Onboarding Fides as an MCP server in ServiceNow</w:t>
      </w:r>
    </w:p>
    <w:p>
      <w:pPr>
        <w:pStyle w:val="BlockText"/>
      </w:pPr>
      <w:r>
        <w:t xml:space="preserve">📄</w:t>
      </w:r>
      <w:r>
        <w:t xml:space="preserve"> </w:t>
      </w:r>
      <w:r>
        <w:rPr>
          <w:b/>
          <w:bCs/>
        </w:rPr>
        <w:t xml:space="preserve">Shareable version:</w:t>
      </w:r>
      <w:r>
        <w:t xml:space="preserve"> </w:t>
      </w:r>
      <w:hyperlink r:id="rId9">
        <w:r>
          <w:rPr>
            <w:rStyle w:val="Hyperlink"/>
          </w:rPr>
          <w:t xml:space="preserve">servicenow-mcp-onboarding.docx</w:t>
        </w:r>
      </w:hyperlink>
      <w:r>
        <w:t xml:space="preserve"> </w:t>
      </w:r>
      <w:r>
        <w:t xml:space="preserve">(Word document with all screenshots). Regenerate with</w:t>
      </w:r>
      <w:r>
        <w:t xml:space="preserve"> </w:t>
      </w:r>
      <w:r>
        <w:rPr>
          <w:rStyle w:val="VerbatimChar"/>
        </w:rPr>
        <w:t xml:space="preserve">pandoc docs/servicenow-mcp-onboarding.md -o docs/servicenow-mcp-onboarding.docx --toc</w:t>
      </w:r>
      <w:r>
        <w:t xml:space="preserve">.</w:t>
      </w:r>
    </w:p>
    <w:p>
      <w:pPr>
        <w:pStyle w:val="BlockText"/>
      </w:pPr>
      <w:r>
        <w:t xml:space="preserve">Register the</w:t>
      </w:r>
      <w:r>
        <w:t xml:space="preserve"> </w:t>
      </w:r>
      <w:r>
        <w:rPr>
          <w:b/>
          <w:bCs/>
        </w:rPr>
        <w:t xml:space="preserve">Fides MCP server</w:t>
      </w:r>
      <w:r>
        <w:t xml:space="preserve"> </w:t>
      </w:r>
      <w:r>
        <w:t xml:space="preserve">in ServiceNow so</w:t>
      </w:r>
      <w:r>
        <w:t xml:space="preserve"> </w:t>
      </w:r>
      <w:r>
        <w:rPr>
          <w:b/>
          <w:bCs/>
        </w:rPr>
        <w:t xml:space="preserve">Now Assist</w:t>
      </w:r>
      <w:r>
        <w:t xml:space="preserve"> </w:t>
      </w:r>
      <w:r>
        <w:t xml:space="preserve">(and AI Agents) can</w:t>
      </w:r>
      <w:r>
        <w:t xml:space="preserve"> </w:t>
      </w:r>
      <w:r>
        <w:t xml:space="preserve">call Fides tools —</w:t>
      </w:r>
      <w:r>
        <w:t xml:space="preserve"> </w:t>
      </w:r>
      <w:r>
        <w:rPr>
          <w:rStyle w:val="VerbatimChar"/>
        </w:rPr>
        <w:t xml:space="preserve">ground_change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get_controls_coverage</w:t>
      </w:r>
      <w:r>
        <w:t xml:space="preserve"> </w:t>
      </w:r>
      <w:r>
        <w:t xml:space="preserve">— directly.</w:t>
      </w:r>
      <w:r>
        <w:t xml:space="preserve"> </w:t>
      </w:r>
      <w:r>
        <w:rPr>
          <w:b/>
          <w:bCs/>
        </w:rPr>
        <w:t xml:space="preserve">Verified end-to-end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calitiiltddemo3.service-now.com</w:t>
      </w:r>
      <w:r>
        <w:t xml:space="preserve"> </w:t>
      </w:r>
      <w:r>
        <w:t xml:space="preserve">on 2026‑07‑03:</w:t>
      </w:r>
      <w:r>
        <w:t xml:space="preserve"> </w:t>
      </w:r>
      <w:r>
        <w:t xml:space="preserve">ServiceNow authenticated to Fides and discovered its tools (</w:t>
      </w:r>
      <w:r>
        <w:rPr>
          <w:rStyle w:val="VerbatimChar"/>
        </w:rPr>
        <w:t xml:space="preserve">HTTP 200</w:t>
      </w:r>
      <w:r>
        <w:t xml:space="preserve">).</w:t>
      </w:r>
      <w:r>
        <w:t xml:space="preserve"> </w:t>
      </w:r>
      <w:r>
        <w:t xml:space="preserve">“Fides advises; ServiceNow decides.”</w:t>
      </w:r>
    </w:p>
    <w:p>
      <w:pPr>
        <w:pStyle w:val="FirstParagraph"/>
      </w:pPr>
      <w:r>
        <w:t xml:space="preserve">This is the SN→Fides direction (the mirror of</w:t>
      </w:r>
      <w:r>
        <w:t xml:space="preserve"> </w:t>
      </w:r>
      <w:hyperlink r:id="rId10">
        <w:r>
          <w:rPr>
            <w:rStyle w:val="Hyperlink"/>
          </w:rPr>
          <w:t xml:space="preserve">servicenow-mcp.md</w:t>
        </w:r>
      </w:hyperlink>
      <w:r>
        <w:t xml:space="preserve">,</w:t>
      </w:r>
      <w:r>
        <w:t xml:space="preserve"> </w:t>
      </w:r>
      <w:r>
        <w:t xml:space="preserve">where Fides consumes ServiceNow’s MCP server). For the grounding endpoint itself, see</w:t>
      </w:r>
      <w:r>
        <w:t xml:space="preserve"> </w:t>
      </w:r>
      <w:hyperlink r:id="rId11">
        <w:r>
          <w:rPr>
            <w:rStyle w:val="Hyperlink"/>
          </w:rPr>
          <w:t xml:space="preserve">servicenow-now-assist-grounding.md</w:t>
        </w:r>
      </w:hyperlink>
      <w:r>
        <w:t xml:space="preserve">.</w:t>
      </w:r>
    </w:p>
    <w:bookmarkStart w:id="12" w:name="prerequisites"/>
    <w:p>
      <w:pPr>
        <w:pStyle w:val="Heading2"/>
      </w:pPr>
      <w:r>
        <w:t xml:space="preserve">Prerequisites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Fides MCP server is live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https://&lt;fides-host&gt;/api/v1/mcp</w:t>
      </w:r>
      <w:r>
        <w:t xml:space="preserve"> </w:t>
      </w:r>
      <w:r>
        <w:t xml:space="preserve">(the Streamable‑HTTP</w:t>
      </w:r>
      <w:r>
        <w:t xml:space="preserve"> </w:t>
      </w:r>
      <w:r>
        <w:t xml:space="preserve">MCP endpoint). Confirm from a shell: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fides-host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/api/v1/mcp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</w:t>
      </w:r>
      <w:r>
        <w:rPr>
          <w:rStyle w:val="VariableTok"/>
        </w:rPr>
        <w:t xml:space="preserve">$FIDES_API_TOKEN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'Content-Type: application/json'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'{"jsonrpc":"2.0","id":1,"method":"tools/list","params":{}}'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  <w:r>
        <w:br/>
      </w:r>
      <w:r>
        <w:rPr>
          <w:rStyle w:val="CommentTok"/>
        </w:rPr>
        <w:t xml:space="preserve"># -&gt; { "result": { "tools": [ "ground_change", "get_controls_coverage" ] } }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Fides API token</w:t>
      </w:r>
      <w:r>
        <w:t xml:space="preserve"> </w:t>
      </w:r>
      <w:r>
        <w:t xml:space="preserve">(org‑scoped). You’ll paste it into the ServiceNow credential.</w:t>
      </w:r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ServiceNow admin</w:t>
      </w:r>
      <w:r>
        <w:t xml:space="preserve"> </w:t>
      </w:r>
      <w:r>
        <w:t xml:space="preserve">with access to</w:t>
      </w:r>
      <w:r>
        <w:t xml:space="preserve"> </w:t>
      </w:r>
      <w:r>
        <w:rPr>
          <w:i/>
          <w:iCs/>
        </w:rPr>
        <w:t xml:space="preserve">Connections &amp; Credentials</w:t>
      </w:r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MCP Server</w:t>
      </w:r>
      <w:r>
        <w:t xml:space="preserve"> </w:t>
      </w:r>
      <w:r>
        <w:t xml:space="preserve">app.</w:t>
      </w:r>
    </w:p>
    <w:p>
      <w:pPr>
        <w:numPr>
          <w:ilvl w:val="0"/>
          <w:numId w:val="1001"/>
        </w:numPr>
      </w:pPr>
      <w:r>
        <w:t xml:space="preserve">ServiceNow must be able to reach the Fides host over HTTPS (no MID server needed if the</w:t>
      </w:r>
      <w:r>
        <w:t xml:space="preserve"> </w:t>
      </w:r>
      <w:r>
        <w:t xml:space="preserve">host is publicly reachable).</w:t>
      </w:r>
    </w:p>
    <w:bookmarkEnd w:id="12"/>
    <w:bookmarkStart w:id="13" w:name="overview-the-record-chain"/>
    <w:p>
      <w:pPr>
        <w:pStyle w:val="Heading2"/>
      </w:pPr>
      <w:r>
        <w:t xml:space="preserve">Overview — the record chain</w:t>
      </w:r>
    </w:p>
    <w:p>
      <w:pPr>
        <w:pStyle w:val="SourceCode"/>
      </w:pPr>
      <w:r>
        <w:rPr>
          <w:rStyle w:val="VerbatimChar"/>
        </w:rPr>
        <w:t xml:space="preserve">sn_mcp_server "Fides MCP server"</w:t>
      </w:r>
      <w:r>
        <w:br/>
      </w:r>
      <w:r>
        <w:rPr>
          <w:rStyle w:val="VerbatimChar"/>
        </w:rPr>
        <w:t xml:space="preserve">      └── Connection Alias  →  sn_alias  (Type: Connection and Credential, HTTP)</w:t>
      </w:r>
      <w:r>
        <w:br/>
      </w:r>
      <w:r>
        <w:rPr>
          <w:rStyle w:val="VerbatimChar"/>
        </w:rPr>
        <w:t xml:space="preserve">                                   ├── HTTP Connection  →  URL /api/v1/mcp</w:t>
      </w:r>
      <w:r>
        <w:br/>
      </w:r>
      <w:r>
        <w:rPr>
          <w:rStyle w:val="VerbatimChar"/>
        </w:rPr>
        <w:t xml:space="preserve">                                   └── Credential       →  Custom Header API Key (Authorization: Bearer &lt;token&gt;)</w:t>
      </w:r>
    </w:p>
    <w:p>
      <w:r>
        <w:pict>
          <v:rect style="width:0;height:1.5pt" o:hralign="center" o:hrstd="t" o:hr="t"/>
        </w:pict>
      </w:r>
    </w:p>
    <w:bookmarkEnd w:id="13"/>
    <w:bookmarkStart w:id="17" w:name="step-1-register-the-mcp-server"/>
    <w:p>
      <w:pPr>
        <w:pStyle w:val="Heading2"/>
      </w:pPr>
      <w:r>
        <w:t xml:space="preserve">Step 1 — Register the MCP server</w:t>
      </w:r>
    </w:p>
    <w:p>
      <w:pPr>
        <w:pStyle w:val="FirstParagraph"/>
      </w:pPr>
      <w:r>
        <w:t xml:space="preserve">Open the</w:t>
      </w:r>
      <w:r>
        <w:t xml:space="preserve"> </w:t>
      </w:r>
      <w:r>
        <w:rPr>
          <w:b/>
          <w:bCs/>
        </w:rPr>
        <w:t xml:space="preserve">Model Context Protocol Servers</w:t>
      </w:r>
      <w:r>
        <w:t xml:space="preserve"> </w:t>
      </w:r>
      <w:r>
        <w:t xml:space="preserve">list (</w:t>
      </w:r>
      <w:r>
        <w:rPr>
          <w:rStyle w:val="VerbatimChar"/>
        </w:rPr>
        <w:t xml:space="preserve">sn_mcp_server</w:t>
      </w:r>
      <w:r>
        <w:t xml:space="preserve">) — navigate to</w:t>
      </w:r>
      <w:r>
        <w:t xml:space="preserve"> </w:t>
      </w:r>
      <w:r>
        <w:rPr>
          <w:rStyle w:val="VerbatimChar"/>
        </w:rPr>
        <w:t xml:space="preserve">/sn_mcp_server_list.do</w:t>
      </w:r>
      <w:r>
        <w:t xml:space="preserve"> </w:t>
      </w:r>
      <w:r>
        <w:t xml:space="preserve">or the</w:t>
      </w:r>
      <w:r>
        <w:t xml:space="preserve"> </w:t>
      </w:r>
      <w:r>
        <w:rPr>
          <w:b/>
          <w:bCs/>
        </w:rPr>
        <w:t xml:space="preserve">MCP Server</w:t>
      </w:r>
      <w:r>
        <w:t xml:space="preserve"> </w:t>
      </w:r>
      <w:r>
        <w:t xml:space="preserve">app — and click</w:t>
      </w:r>
      <w:r>
        <w:t xml:space="preserve"> </w:t>
      </w:r>
      <w:r>
        <w:rPr>
          <w:b/>
          <w:bCs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Server name:</w:t>
      </w:r>
      <w:r>
        <w:t xml:space="preserve"> </w:t>
      </w:r>
      <w:r>
        <w:rPr>
          <w:rStyle w:val="VerbatimChar"/>
        </w:rPr>
        <w:t xml:space="preserve">Fides MCP server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Connection Alias:</w:t>
      </w:r>
      <w:r>
        <w:t xml:space="preserve"> </w:t>
      </w:r>
      <w:r>
        <w:t xml:space="preserve">create a new one in Step 2 (the field is a reference; use its</w:t>
      </w:r>
      <w:r>
        <w:t xml:space="preserve"> </w:t>
      </w:r>
      <w:r>
        <w:t xml:space="preserve">magnifier →</w:t>
      </w:r>
      <w:r>
        <w:t xml:space="preserve"> </w:t>
      </w:r>
      <w:r>
        <w:rPr>
          <w:i/>
          <w:iCs/>
        </w:rPr>
        <w:t xml:space="preserve">New</w:t>
      </w:r>
      <w:r>
        <w:t xml:space="preserve">, or create the alias first and select it here).</w:t>
      </w:r>
    </w:p>
    <w:p>
      <w:pPr>
        <w:pStyle w:val="CaptionedFigure"/>
      </w:pPr>
      <w:r>
        <w:drawing>
          <wp:inline>
            <wp:extent cx="5334000" cy="2105016"/>
            <wp:effectExtent b="0" l="0" r="0" t="0"/>
            <wp:docPr descr="MCP server record with its connection alias" title="" id="15" name="Picture"/>
            <a:graphic>
              <a:graphicData uri="http://schemas.openxmlformats.org/drawingml/2006/picture">
                <pic:pic>
                  <pic:nvPicPr>
                    <pic:cNvPr descr="images/servicenow-mcp-onboarding/02-mcp-server-record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50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MCP server record with its connection alias</w:t>
      </w:r>
    </w:p>
    <w:p>
      <w:r>
        <w:pict>
          <v:rect style="width:0;height:1.5pt" o:hralign="center" o:hrstd="t" o:hr="t"/>
        </w:pict>
      </w:r>
    </w:p>
    <w:bookmarkEnd w:id="17"/>
    <w:bookmarkStart w:id="21" w:name="X043148757b4f18493bbaa92548f7c01af38f66b"/>
    <w:p>
      <w:pPr>
        <w:pStyle w:val="Heading2"/>
      </w:pPr>
      <w:r>
        <w:t xml:space="preserve">Step 2 — Create the Connection &amp; Credential Alias</w:t>
      </w:r>
    </w:p>
    <w:p>
      <w:pPr>
        <w:pStyle w:val="FirstParagraph"/>
      </w:pPr>
      <w:r>
        <w:t xml:space="preserve">On the alias form (opened from the Connection Alias field’s</w:t>
      </w:r>
      <w:r>
        <w:t xml:space="preserve"> </w:t>
      </w:r>
      <w:r>
        <w:rPr>
          <w:i/>
          <w:iCs/>
        </w:rPr>
        <w:t xml:space="preserve">New</w:t>
      </w:r>
      <w:r>
        <w:t xml:space="preserve">):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Fides MCP server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Type:</w:t>
      </w:r>
      <w:r>
        <w:t xml:space="preserve"> </w:t>
      </w:r>
      <w:r>
        <w:rPr>
          <w:rStyle w:val="VerbatimChar"/>
        </w:rPr>
        <w:t xml:space="preserve">Connection and Credential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Connection type:</w:t>
      </w:r>
      <w:r>
        <w:t xml:space="preserve"> </w:t>
      </w:r>
      <w:r>
        <w:rPr>
          <w:rStyle w:val="VerbatimChar"/>
        </w:rPr>
        <w:t xml:space="preserve">HTTP</w:t>
      </w:r>
    </w:p>
    <w:p>
      <w:pPr>
        <w:pStyle w:val="FirstParagraph"/>
      </w:pPr>
      <w:r>
        <w:t xml:space="preserve">Leave the rest default and</w:t>
      </w:r>
      <w:r>
        <w:t xml:space="preserve"> </w:t>
      </w:r>
      <w:r>
        <w:rPr>
          <w:b/>
          <w:bCs/>
        </w:rPr>
        <w:t xml:space="preserve">Submit</w:t>
      </w:r>
      <w:r>
        <w:t xml:space="preserve">.</w:t>
      </w:r>
    </w:p>
    <w:p>
      <w:pPr>
        <w:pStyle w:val="CaptionedFigure"/>
      </w:pPr>
      <w:r>
        <w:drawing>
          <wp:inline>
            <wp:extent cx="5334000" cy="1458215"/>
            <wp:effectExtent b="0" l="0" r="0" t="0"/>
            <wp:docPr descr="Connection &amp; Credential Aliases — Type: Connection and Credential, HTTP" title="" id="19" name="Picture"/>
            <a:graphic>
              <a:graphicData uri="http://schemas.openxmlformats.org/drawingml/2006/picture">
                <pic:pic>
                  <pic:nvPicPr>
                    <pic:cNvPr descr="images/servicenow-mcp-onboarding/01-connection-credential-alias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582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Connection &amp; Credential Aliases — Type: Connection and Credential, HTTP</w:t>
      </w:r>
    </w:p>
    <w:p>
      <w:pPr>
        <w:pStyle w:val="BodyText"/>
      </w:pPr>
      <w:r>
        <w:t xml:space="preserve">The alias reopens with a</w:t>
      </w:r>
      <w:r>
        <w:t xml:space="preserve"> </w:t>
      </w:r>
      <w:r>
        <w:rPr>
          <w:b/>
          <w:bCs/>
        </w:rPr>
        <w:t xml:space="preserve">Connections</w:t>
      </w:r>
      <w:r>
        <w:t xml:space="preserve"> </w:t>
      </w:r>
      <w:r>
        <w:t xml:space="preserve">related list. Add the connection next.</w:t>
      </w:r>
    </w:p>
    <w:p>
      <w:r>
        <w:pict>
          <v:rect style="width:0;height:1.5pt" o:hralign="center" o:hrstd="t" o:hr="t"/>
        </w:pict>
      </w:r>
    </w:p>
    <w:bookmarkEnd w:id="21"/>
    <w:bookmarkStart w:id="25" w:name="step-3-add-the-http-connection"/>
    <w:p>
      <w:pPr>
        <w:pStyle w:val="Heading2"/>
      </w:pPr>
      <w:r>
        <w:t xml:space="preserve">Step 3 — Add the HTTP Connection</w:t>
      </w:r>
    </w:p>
    <w:p>
      <w:pPr>
        <w:pStyle w:val="FirstParagraph"/>
      </w:pPr>
      <w:r>
        <w:t xml:space="preserve">On the alias,</w:t>
      </w:r>
      <w:r>
        <w:t xml:space="preserve"> </w:t>
      </w:r>
      <w:r>
        <w:rPr>
          <w:b/>
          <w:bCs/>
        </w:rPr>
        <w:t xml:space="preserve">Connections → New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Fides MCP connection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Connection URL:</w:t>
      </w:r>
      <w:r>
        <w:t xml:space="preserve"> </w:t>
      </w:r>
      <w:r>
        <w:rPr>
          <w:rStyle w:val="VerbatimChar"/>
        </w:rPr>
        <w:t xml:space="preserve">https://&lt;fides-host&gt;/api/v1/mcp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 MID server:</w:t>
      </w:r>
      <w:r>
        <w:t xml:space="preserve"> </w:t>
      </w:r>
      <w:r>
        <w:t xml:space="preserve">off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Active:</w:t>
      </w:r>
      <w:r>
        <w:t xml:space="preserve"> </w:t>
      </w:r>
      <w:r>
        <w:t xml:space="preserve">on</w:t>
      </w:r>
    </w:p>
    <w:p>
      <w:pPr>
        <w:pStyle w:val="FirstParagraph"/>
      </w:pPr>
      <w:r>
        <w:rPr>
          <w:b/>
          <w:bCs/>
        </w:rPr>
        <w:t xml:space="preserve">Submit.</w:t>
      </w:r>
    </w:p>
    <w:p>
      <w:pPr>
        <w:pStyle w:val="CaptionedFigure"/>
      </w:pPr>
      <w:r>
        <w:drawing>
          <wp:inline>
            <wp:extent cx="5334000" cy="1729453"/>
            <wp:effectExtent b="0" l="0" r="0" t="0"/>
            <wp:docPr descr="HTTP Connection — Connection URL = /api/v1/mcp" title="" id="23" name="Picture"/>
            <a:graphic>
              <a:graphicData uri="http://schemas.openxmlformats.org/drawingml/2006/picture">
                <pic:pic>
                  <pic:nvPicPr>
                    <pic:cNvPr descr="images/servicenow-mcp-onboarding/03-http-connection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294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HTTP Connection — Connection URL = /api/v1/mcp</w:t>
      </w:r>
    </w:p>
    <w:p>
      <w:pPr>
        <w:pStyle w:val="BlockText"/>
      </w:pPr>
      <w:r>
        <w:t xml:space="preserve">Ignore any</w:t>
      </w:r>
      <w:r>
        <w:t xml:space="preserve"> </w:t>
      </w:r>
      <w:r>
        <w:rPr>
          <w:i/>
          <w:iCs/>
        </w:rPr>
        <w:t xml:space="preserve">“There is no configuration template to create connections and credential</w:t>
      </w:r>
      <w:r>
        <w:rPr>
          <w:i/>
          <w:iCs/>
        </w:rPr>
        <w:t xml:space="preserve"> </w:t>
      </w:r>
      <w:r>
        <w:rPr>
          <w:i/>
          <w:iCs/>
        </w:rPr>
        <w:t xml:space="preserve">records”</w:t>
      </w:r>
      <w:r>
        <w:t xml:space="preserve"> </w:t>
      </w:r>
      <w:r>
        <w:t xml:space="preserve">banner — that’s only from the guided</w:t>
      </w:r>
      <w:r>
        <w:t xml:space="preserve"> </w:t>
      </w:r>
      <w:r>
        <w:rPr>
          <w:i/>
          <w:iCs/>
        </w:rPr>
        <w:t xml:space="preserve">Create New Connection &amp; Credential</w:t>
      </w:r>
      <w:r>
        <w:t xml:space="preserve"> </w:t>
      </w:r>
      <w:r>
        <w:t xml:space="preserve">link, which needs a template. Adding the connection directly (as above) is the path.</w:t>
      </w:r>
    </w:p>
    <w:p>
      <w:r>
        <w:pict>
          <v:rect style="width:0;height:1.5pt" o:hralign="center" o:hrstd="t" o:hr="t"/>
        </w:pict>
      </w:r>
    </w:p>
    <w:bookmarkEnd w:id="25"/>
    <w:bookmarkStart w:id="32" w:name="Xfda7f9eb55b433b350586b502d189f66d05e508"/>
    <w:p>
      <w:pPr>
        <w:pStyle w:val="Heading2"/>
      </w:pPr>
      <w:r>
        <w:t xml:space="preserve">Step 4 — Add the Credential (the Bearer token)</w:t>
      </w:r>
    </w:p>
    <w:p>
      <w:pPr>
        <w:pStyle w:val="FirstParagraph"/>
      </w:pPr>
      <w:r>
        <w:t xml:space="preserve">Fides authenticates with</w:t>
      </w:r>
      <w:r>
        <w:t xml:space="preserve"> </w:t>
      </w:r>
      <w:r>
        <w:rPr>
          <w:rStyle w:val="VerbatimChar"/>
        </w:rPr>
        <w:t xml:space="preserve">Authorization: Bearer &lt;token&gt;</w:t>
      </w:r>
      <w:r>
        <w:t xml:space="preserve">. The credential type that sends</w:t>
      </w:r>
      <w:r>
        <w:t xml:space="preserve"> </w:t>
      </w:r>
      <w:r>
        <w:t xml:space="preserve">an exact custom header is</w:t>
      </w:r>
      <w:r>
        <w:t xml:space="preserve"> </w:t>
      </w:r>
      <w:r>
        <w:rPr>
          <w:rStyle w:val="VerbatimChar"/>
          <w:b/>
          <w:bCs/>
        </w:rPr>
        <w:t xml:space="preserve">Custom Header API Key Credential</w:t>
      </w:r>
      <w:r>
        <w:t xml:space="preserve">.</w:t>
      </w:r>
    </w:p>
    <w:p>
      <w:pPr>
        <w:pStyle w:val="BodyText"/>
      </w:pPr>
      <w:r>
        <w:t xml:space="preserve">From the connection’s</w:t>
      </w:r>
      <w:r>
        <w:t xml:space="preserve"> </w:t>
      </w:r>
      <w:r>
        <w:rPr>
          <w:b/>
          <w:bCs/>
        </w:rPr>
        <w:t xml:space="preserve">Credential</w:t>
      </w:r>
      <w:r>
        <w:t xml:space="preserve"> </w:t>
      </w:r>
      <w:r>
        <w:t xml:space="preserve">field magnifier →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→ pick</w:t>
      </w:r>
      <w:r>
        <w:t xml:space="preserve"> </w:t>
      </w:r>
      <w:r>
        <w:rPr>
          <w:b/>
          <w:bCs/>
        </w:rPr>
        <w:t xml:space="preserve">Custom Header API Key Credential</w:t>
      </w:r>
      <w:r>
        <w:t xml:space="preserve">:</w:t>
      </w:r>
    </w:p>
    <w:p>
      <w:pPr>
        <w:pStyle w:val="CaptionedFigure"/>
      </w:pPr>
      <w:r>
        <w:drawing>
          <wp:inline>
            <wp:extent cx="5334000" cy="5667054"/>
            <wp:effectExtent b="0" l="0" r="0" t="0"/>
            <wp:docPr descr="Credential type list — pick Custom Header API Key Credential" title="" id="27" name="Picture"/>
            <a:graphic>
              <a:graphicData uri="http://schemas.openxmlformats.org/drawingml/2006/picture">
                <pic:pic>
                  <pic:nvPicPr>
                    <pic:cNvPr descr="images/servicenow-mcp-onboarding/04-credential-type-lis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667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Credential type list — pick Custom Header API Key Credential</w:t>
      </w:r>
    </w:p>
    <w:p>
      <w:pPr>
        <w:pStyle w:val="BodyText"/>
      </w:pPr>
      <w:r>
        <w:t xml:space="preserve">Fill it: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Name:</w:t>
      </w:r>
      <w:r>
        <w:t xml:space="preserve"> </w:t>
      </w:r>
      <w:r>
        <w:rPr>
          <w:rStyle w:val="VerbatimChar"/>
        </w:rPr>
        <w:t xml:space="preserve">Fides API token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Header Name:</w:t>
      </w:r>
      <w:r>
        <w:t xml:space="preserve"> </w:t>
      </w:r>
      <w:r>
        <w:rPr>
          <w:rStyle w:val="VerbatimChar"/>
        </w:rPr>
        <w:t xml:space="preserve">Authorization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API Key:</w:t>
      </w:r>
      <w:r>
        <w:t xml:space="preserve"> </w:t>
      </w:r>
      <w:r>
        <w:t xml:space="preserve">type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(with a trailing space), then paste the Fides token, so the</w:t>
      </w:r>
      <w:r>
        <w:t xml:space="preserve"> </w:t>
      </w:r>
      <w:r>
        <w:t xml:space="preserve">value reads exactly: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Bearer &lt;your-fides-api-token&gt;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Authorization Algorithm:</w:t>
      </w:r>
      <w:r>
        <w:t xml:space="preserve"> </w:t>
      </w:r>
      <w:r>
        <w:rPr>
          <w:rStyle w:val="VerbatimChar"/>
        </w:rPr>
        <w:t xml:space="preserve">Custom Header API Key Algorithm</w:t>
      </w:r>
      <w:r>
        <w:t xml:space="preserve"> </w:t>
      </w:r>
      <w:r>
        <w:t xml:space="preserve">(default)</w:t>
      </w:r>
    </w:p>
    <w:p>
      <w:pPr>
        <w:pStyle w:val="FirstParagraph"/>
      </w:pPr>
      <w:r>
        <w:rPr>
          <w:b/>
          <w:bCs/>
        </w:rPr>
        <w:t xml:space="preserve">Submit.</w:t>
      </w:r>
    </w:p>
    <w:p>
      <w:pPr>
        <w:pStyle w:val="CaptionedFigure"/>
      </w:pPr>
      <w:r>
        <w:drawing>
          <wp:inline>
            <wp:extent cx="5334000" cy="1270823"/>
            <wp:effectExtent b="0" l="0" r="0" t="0"/>
            <wp:docPr descr="Custom Header API Key Credential — Header Name Authorization" title="" id="30" name="Picture"/>
            <a:graphic>
              <a:graphicData uri="http://schemas.openxmlformats.org/drawingml/2006/picture">
                <pic:pic>
                  <pic:nvPicPr>
                    <pic:cNvPr descr="images/servicenow-mcp-onboarding/05-custom-header-credential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0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Custom Header API Key Credential — Header Name Authorization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Bearer</w:t>
      </w:r>
      <w:r>
        <w:rPr>
          <w:b/>
          <w:bCs/>
        </w:rPr>
        <w:t xml:space="preserve"> </w:t>
      </w:r>
      <w:r>
        <w:rPr>
          <w:b/>
          <w:bCs/>
        </w:rPr>
        <w:t xml:space="preserve">prefix is mandatory.</w:t>
      </w:r>
      <w:r>
        <w:t xml:space="preserve"> </w:t>
      </w:r>
      <w:r>
        <w:t xml:space="preserve">The Custom‑Header type sends the header</w:t>
      </w:r>
      <w:r>
        <w:t xml:space="preserve"> </w:t>
      </w:r>
      <w:r>
        <w:t xml:space="preserve">verbatim as</w:t>
      </w:r>
      <w:r>
        <w:t xml:space="preserve"> </w:t>
      </w:r>
      <w:r>
        <w:rPr>
          <w:rStyle w:val="VerbatimChar"/>
        </w:rPr>
        <w:t xml:space="preserve">Authorization: &lt;API Key&gt;</w:t>
      </w:r>
      <w:r>
        <w:t xml:space="preserve">. Without the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prefix Fides returns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and ServiceNow’s tool call fails silently.</w:t>
      </w:r>
    </w:p>
    <w:p>
      <w:r>
        <w:pict>
          <v:rect style="width:0;height:1.5pt" o:hralign="center" o:hrstd="t" o:hr="t"/>
        </w:pict>
      </w:r>
    </w:p>
    <w:bookmarkEnd w:id="32"/>
    <w:bookmarkStart w:id="36" w:name="Xda3ea225c2b24e298d0f0c86c54d160bff3fd41"/>
    <w:p>
      <w:pPr>
        <w:pStyle w:val="Heading2"/>
      </w:pPr>
      <w:r>
        <w:t xml:space="preserve">Step 5 — Link the credential to the connection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b/>
          <w:bCs/>
        </w:rPr>
        <w:t xml:space="preserve">Fides MCP connection</w:t>
      </w:r>
      <w:r>
        <w:t xml:space="preserve"> </w:t>
      </w:r>
      <w:r>
        <w:t xml:space="preserve">again and set its</w:t>
      </w:r>
      <w:r>
        <w:t xml:space="preserve"> </w:t>
      </w:r>
      <w:r>
        <w:rPr>
          <w:b/>
          <w:bCs/>
        </w:rPr>
        <w:t xml:space="preserve">Credential</w:t>
      </w:r>
      <w:r>
        <w:t xml:space="preserve"> </w:t>
      </w:r>
      <w:r>
        <w:t xml:space="preserve">field to</w:t>
      </w:r>
      <w:r>
        <w:t xml:space="preserve"> </w:t>
      </w:r>
      <w:r>
        <w:rPr>
          <w:rStyle w:val="VerbatimChar"/>
          <w:b/>
          <w:bCs/>
        </w:rPr>
        <w:t xml:space="preserve">Fides API token</w:t>
      </w:r>
      <w:r>
        <w:t xml:space="preserve"> </w:t>
      </w:r>
      <w:r>
        <w:t xml:space="preserve">(type it and pick from the dropdown), then</w:t>
      </w:r>
      <w:r>
        <w:t xml:space="preserve"> </w:t>
      </w:r>
      <w:r>
        <w:rPr>
          <w:b/>
          <w:bCs/>
        </w:rPr>
        <w:t xml:space="preserve">Update</w:t>
      </w:r>
      <w:r>
        <w:t xml:space="preserve">.</w:t>
      </w:r>
    </w:p>
    <w:p>
      <w:pPr>
        <w:pStyle w:val="BodyText"/>
      </w:pPr>
      <w:r>
        <w:t xml:space="preserve">The connection should now show</w:t>
      </w:r>
      <w:r>
        <w:t xml:space="preserve"> </w:t>
      </w:r>
      <w:r>
        <w:rPr>
          <w:b/>
          <w:bCs/>
        </w:rPr>
        <w:t xml:space="preserve">Active: true</w:t>
      </w:r>
      <w:r>
        <w:t xml:space="preserve">,</w:t>
      </w:r>
      <w:r>
        <w:t xml:space="preserve"> </w:t>
      </w:r>
      <w:r>
        <w:rPr>
          <w:b/>
          <w:bCs/>
        </w:rPr>
        <w:t xml:space="preserve">Credential: Fides API token</w:t>
      </w:r>
      <w:r>
        <w:t xml:space="preserve">,</w:t>
      </w:r>
      <w:r>
        <w:t xml:space="preserve"> </w:t>
      </w:r>
      <w:r>
        <w:rPr>
          <w:b/>
          <w:bCs/>
        </w:rPr>
        <w:t xml:space="preserve">Host: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&lt;fides-host&gt;</w:t>
      </w:r>
      <w:r>
        <w:t xml:space="preserve">,</w:t>
      </w:r>
      <w:r>
        <w:t xml:space="preserve"> </w:t>
      </w:r>
      <w:r>
        <w:rPr>
          <w:b/>
          <w:bCs/>
        </w:rPr>
        <w:t xml:space="preserve">Protocol: https</w:t>
      </w:r>
      <w:r>
        <w:t xml:space="preserve">:</w:t>
      </w:r>
    </w:p>
    <w:p>
      <w:pPr>
        <w:pStyle w:val="CaptionedFigure"/>
      </w:pPr>
      <w:r>
        <w:drawing>
          <wp:inline>
            <wp:extent cx="5334000" cy="2358331"/>
            <wp:effectExtent b="0" l="0" r="0" t="0"/>
            <wp:docPr descr="Connection wired — Credential = Fides API token" title="" id="34" name="Picture"/>
            <a:graphic>
              <a:graphicData uri="http://schemas.openxmlformats.org/drawingml/2006/picture">
                <pic:pic>
                  <pic:nvPicPr>
                    <pic:cNvPr descr="images/servicenow-mcp-onboarding/06-connection-link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83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Connection wired — Credential = Fides API token</w:t>
      </w:r>
    </w:p>
    <w:p>
      <w:pPr>
        <w:pStyle w:val="BodyText"/>
      </w:pPr>
      <w:r>
        <w:t xml:space="preserve">That completes the chain:</w:t>
      </w:r>
      <w:r>
        <w:t xml:space="preserve"> </w:t>
      </w:r>
      <w:r>
        <w:rPr>
          <w:b/>
          <w:bCs/>
        </w:rPr>
        <w:t xml:space="preserve">alias → connection (URL) → credential (Bearer token)</w:t>
      </w:r>
      <w:r>
        <w:t xml:space="preserve">.</w:t>
      </w:r>
    </w:p>
    <w:p>
      <w:pPr>
        <w:pStyle w:val="BlockText"/>
      </w:pPr>
      <w:r>
        <w:t xml:space="preserve">The credential’s own</w:t>
      </w:r>
      <w:r>
        <w:t xml:space="preserve"> </w:t>
      </w:r>
      <w:r>
        <w:rPr>
          <w:i/>
          <w:iCs/>
        </w:rPr>
        <w:t xml:space="preserve">Credential alias</w:t>
      </w:r>
      <w:r>
        <w:t xml:space="preserve"> </w:t>
      </w:r>
      <w:r>
        <w:t xml:space="preserve">list field can be left empty — its reference</w:t>
      </w:r>
      <w:r>
        <w:t xml:space="preserve"> </w:t>
      </w:r>
      <w:r>
        <w:t xml:space="preserve">qualifier may not match this alias, and it isn’t needed. The</w:t>
      </w:r>
      <w:r>
        <w:t xml:space="preserve"> </w:t>
      </w:r>
      <w:r>
        <w:rPr>
          <w:b/>
          <w:bCs/>
        </w:rPr>
        <w:t xml:space="preserve">connection → credential</w:t>
      </w:r>
      <w:r>
        <w:t xml:space="preserve"> </w:t>
      </w:r>
      <w:r>
        <w:t xml:space="preserve">link (above) is what the alias resolves at runtime.</w:t>
      </w:r>
    </w:p>
    <w:p>
      <w:r>
        <w:pict>
          <v:rect style="width:0;height:1.5pt" o:hralign="center" o:hrstd="t" o:hr="t"/>
        </w:pict>
      </w:r>
    </w:p>
    <w:bookmarkEnd w:id="36"/>
    <w:bookmarkStart w:id="37" w:name="step-6-verify-servicenow-fides"/>
    <w:p>
      <w:pPr>
        <w:pStyle w:val="Heading2"/>
      </w:pPr>
      <w:r>
        <w:t xml:space="preserve">Step 6 — Verify (ServiceNow → Fides)</w:t>
      </w:r>
    </w:p>
    <w:p>
      <w:pPr>
        <w:pStyle w:val="FirstParagraph"/>
      </w:pPr>
      <w:r>
        <w:t xml:space="preserve">Force ServiceNow to connect to Fides and list its tools. With the</w:t>
      </w:r>
      <w:r>
        <w:t xml:space="preserve"> </w:t>
      </w:r>
      <w:r>
        <w:rPr>
          <w:rStyle w:val="VerbatimChar"/>
        </w:rPr>
        <w:t xml:space="preserve">sn_mcp_server</w:t>
      </w:r>
      <w:r>
        <w:t xml:space="preserve"> </w:t>
      </w:r>
      <w:r>
        <w:t xml:space="preserve">record’s</w:t>
      </w:r>
      <w:r>
        <w:t xml:space="preserve"> </w:t>
      </w:r>
      <w:r>
        <w:rPr>
          <w:rStyle w:val="VerbatimChar"/>
        </w:rPr>
        <w:t xml:space="preserve">sys_id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$SN_USER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$SN_PASS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"https://&lt;instance&gt;.service-now.com/api/sn_wdf_mcp_client/mcp/servers/&lt;sn_mcp_server_sys_id&gt;/tools"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jq</w:t>
      </w:r>
      <w:r>
        <w:rPr>
          <w:rStyle w:val="NormalTok"/>
        </w:rPr>
        <w:t xml:space="preserve"> .</w:t>
      </w:r>
    </w:p>
    <w:p>
      <w:pPr>
        <w:pStyle w:val="FirstParagraph"/>
      </w:pPr>
      <w:r>
        <w:t xml:space="preserve">A successful response (</w:t>
      </w:r>
      <w:r>
        <w:rPr>
          <w:rStyle w:val="VerbatimChar"/>
        </w:rPr>
        <w:t xml:space="preserve">HTTP 200</w:t>
      </w:r>
      <w:r>
        <w:t xml:space="preserve">) returns Fides’s tools — proof the connection</w:t>
      </w:r>
      <w:r>
        <w:t xml:space="preserve"> </w:t>
      </w:r>
      <w:r>
        <w:rPr>
          <w:b/>
          <w:bCs/>
        </w:rPr>
        <w:t xml:space="preserve">and the</w:t>
      </w:r>
      <w:r>
        <w:rPr>
          <w:b/>
          <w:bCs/>
        </w:rPr>
        <w:t xml:space="preserve"> </w:t>
      </w:r>
      <w:r>
        <w:rPr>
          <w:b/>
          <w:bCs/>
        </w:rPr>
        <w:t xml:space="preserve">Bearer auth</w:t>
      </w:r>
      <w:r>
        <w:t xml:space="preserve"> </w:t>
      </w:r>
      <w:r>
        <w:t xml:space="preserve">work end‑to‑end: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"tools"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"get_controls_coverage"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 the org's governance controls 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"ground_change"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"Ground Now Assist for a ServiceNow change …"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If you get</w:t>
      </w:r>
      <w:r>
        <w:t xml:space="preserve"> </w:t>
      </w:r>
      <w:r>
        <w:rPr>
          <w:b/>
          <w:bCs/>
        </w:rPr>
        <w:t xml:space="preserve">401</w:t>
      </w:r>
      <w:r>
        <w:t xml:space="preserve"> </w:t>
      </w:r>
      <w:r>
        <w:t xml:space="preserve">→ the credential is missing the</w:t>
      </w:r>
      <w:r>
        <w:t xml:space="preserve"> </w:t>
      </w:r>
      <w:r>
        <w:rPr>
          <w:rStyle w:val="VerbatimChar"/>
        </w:rPr>
        <w:t xml:space="preserve">Bearer</w:t>
      </w:r>
      <w:r>
        <w:t xml:space="preserve"> </w:t>
      </w:r>
      <w:r>
        <w:t xml:space="preserve">prefix or the wrong header.</w:t>
      </w:r>
      <w:r>
        <w:t xml:space="preserve"> </w:t>
      </w:r>
      <w:r>
        <w:t xml:space="preserve">If you get</w:t>
      </w:r>
      <w:r>
        <w:t xml:space="preserve"> </w:t>
      </w:r>
      <w:r>
        <w:rPr>
          <w:b/>
          <w:bCs/>
        </w:rPr>
        <w:t xml:space="preserve">no records / not found</w:t>
      </w:r>
      <w:r>
        <w:t xml:space="preserve"> </w:t>
      </w:r>
      <w:r>
        <w:t xml:space="preserve">→ re‑check the connection is</w:t>
      </w:r>
      <w:r>
        <w:t xml:space="preserve"> </w:t>
      </w:r>
      <w:r>
        <w:rPr>
          <w:i/>
          <w:iCs/>
        </w:rPr>
        <w:t xml:space="preserve">Active</w:t>
      </w:r>
      <w:r>
        <w:t xml:space="preserve"> </w:t>
      </w:r>
      <w:r>
        <w:t xml:space="preserve">and its</w:t>
      </w:r>
      <w:r>
        <w:t xml:space="preserve"> </w:t>
      </w:r>
      <w:r>
        <w:t xml:space="preserve">Credential is set.</w:t>
      </w:r>
    </w:p>
    <w:p>
      <w:r>
        <w:pict>
          <v:rect style="width:0;height:1.5pt" o:hralign="center" o:hrstd="t" o:hr="t"/>
        </w:pict>
      </w:r>
    </w:p>
    <w:bookmarkEnd w:id="37"/>
    <w:bookmarkStart w:id="45" w:name="X5f5757fa8e158b945b2098a4d5aba02da6adf9b"/>
    <w:p>
      <w:pPr>
        <w:pStyle w:val="Heading2"/>
      </w:pPr>
      <w:r>
        <w:t xml:space="preserve">Step 7 — Make it callable by Now Assist (AI Agent Studio)</w:t>
      </w:r>
    </w:p>
    <w:p>
      <w:pPr>
        <w:pStyle w:val="BlockText"/>
      </w:pPr>
      <w:r>
        <w:rPr>
          <w:b/>
          <w:bCs/>
        </w:rPr>
        <w:t xml:space="preserve">Role required:</w:t>
      </w:r>
      <w:r>
        <w:t xml:space="preserve"> </w:t>
      </w:r>
      <w:r>
        <w:t xml:space="preserve">AI Agent Studio needs the</w:t>
      </w:r>
      <w:r>
        <w:t xml:space="preserve"> </w:t>
      </w:r>
      <w:r>
        <w:rPr>
          <w:rStyle w:val="VerbatimChar"/>
          <w:b/>
          <w:bCs/>
        </w:rPr>
        <w:t xml:space="preserve">sn_aia.admin</w:t>
      </w:r>
      <w:r>
        <w:t xml:space="preserve"> </w:t>
      </w:r>
      <w:r>
        <w:t xml:space="preserve">role. With only</w:t>
      </w:r>
      <w:r>
        <w:t xml:space="preserve"> </w:t>
      </w:r>
      <w:r>
        <w:rPr>
          <w:rStyle w:val="VerbatimChar"/>
        </w:rPr>
        <w:t xml:space="preserve">sn_aia.viewer</w:t>
      </w:r>
      <w:r>
        <w:t xml:space="preserve"> </w:t>
      </w:r>
      <w:r>
        <w:t xml:space="preserve">you’ll see a</w:t>
      </w:r>
      <w:r>
        <w:t xml:space="preserve"> </w:t>
      </w:r>
      <w:r>
        <w:rPr>
          <w:i/>
          <w:iCs/>
        </w:rPr>
        <w:t xml:space="preserve">“Read-only”</w:t>
      </w:r>
      <w:r>
        <w:t xml:space="preserve"> </w:t>
      </w:r>
      <w:r>
        <w:t xml:space="preserve">banner and</w:t>
      </w:r>
      <w:r>
        <w:t xml:space="preserve"> </w:t>
      </w:r>
      <w:r>
        <w:rPr>
          <w:i/>
          <w:iCs/>
        </w:rPr>
        <w:t xml:space="preserve">Create and manage</w:t>
      </w:r>
      <w:r>
        <w:t xml:space="preserve"> </w:t>
      </w:r>
      <w:r>
        <w:t xml:space="preserve">is disabled.</w:t>
      </w:r>
      <w:r>
        <w:t xml:space="preserve"> </w:t>
      </w:r>
      <w:r>
        <w:t xml:space="preserve">Have an admin grant</w:t>
      </w:r>
      <w:r>
        <w:t xml:space="preserve"> </w:t>
      </w:r>
      <w:r>
        <w:rPr>
          <w:rStyle w:val="VerbatimChar"/>
        </w:rPr>
        <w:t xml:space="preserve">sn_aia.admin</w:t>
      </w:r>
      <w:r>
        <w:t xml:space="preserve"> </w:t>
      </w:r>
      <w:r>
        <w:t xml:space="preserve">first (System Administration → Users →</w:t>
      </w:r>
      <w:r>
        <w:t xml:space="preserve"> </w:t>
      </w:r>
      <w:r>
        <w:rPr>
          <w:i/>
          <w:iCs/>
        </w:rPr>
        <w:t xml:space="preserve">your user</w:t>
      </w:r>
      <w:r>
        <w:t xml:space="preserve"> </w:t>
      </w:r>
      <w:r>
        <w:t xml:space="preserve">→</w:t>
      </w:r>
      <w:r>
        <w:t xml:space="preserve"> </w:t>
      </w:r>
      <w:r>
        <w:t xml:space="preserve">Roles → add</w:t>
      </w:r>
      <w:r>
        <w:t xml:space="preserve"> </w:t>
      </w:r>
      <w:r>
        <w:rPr>
          <w:rStyle w:val="VerbatimChar"/>
        </w:rPr>
        <w:t xml:space="preserve">sn_aia.admin</w:t>
      </w:r>
      <w:r>
        <w:t xml:space="preserve">). Now Assist / Generative AI Controller must also be</w:t>
      </w:r>
      <w:r>
        <w:t xml:space="preserve"> </w:t>
      </w:r>
      <w:r>
        <w:t xml:space="preserve">activated on the instance.</w:t>
      </w:r>
    </w:p>
    <w:p>
      <w:pPr>
        <w:pStyle w:val="FirstParagraph"/>
      </w:pPr>
      <w:r>
        <w:t xml:space="preserve">Tool</w:t>
      </w:r>
      <w:r>
        <w:t xml:space="preserve"> </w:t>
      </w:r>
      <w:r>
        <w:rPr>
          <w:b/>
          <w:bCs/>
        </w:rPr>
        <w:t xml:space="preserve">discovery</w:t>
      </w:r>
      <w:r>
        <w:t xml:space="preserve"> </w:t>
      </w:r>
      <w:r>
        <w:t xml:space="preserve">works after Step 6;</w:t>
      </w:r>
      <w:r>
        <w:t xml:space="preserve"> </w:t>
      </w:r>
      <w:r>
        <w:rPr>
          <w:b/>
          <w:bCs/>
        </w:rPr>
        <w:t xml:space="preserve">invocation</w:t>
      </w:r>
      <w:r>
        <w:t xml:space="preserve"> </w:t>
      </w:r>
      <w:r>
        <w:t xml:space="preserve">needs the tools</w:t>
      </w:r>
      <w:r>
        <w:t xml:space="preserve"> </w:t>
      </w:r>
      <w:r>
        <w:rPr>
          <w:i/>
          <w:iCs/>
        </w:rPr>
        <w:t xml:space="preserve">synced</w:t>
      </w:r>
      <w:r>
        <w:t xml:space="preserve"> </w:t>
      </w:r>
      <w:r>
        <w:t xml:space="preserve">into the</w:t>
      </w:r>
      <w:r>
        <w:t xml:space="preserve"> </w:t>
      </w:r>
      <w:r>
        <w:t xml:space="preserve">tool registry — which AI Agent Studio does when you attach the server to an agent:</w:t>
      </w:r>
    </w:p>
    <w:p>
      <w:pPr>
        <w:numPr>
          <w:ilvl w:val="0"/>
          <w:numId w:val="1006"/>
        </w:numPr>
      </w:pPr>
      <w:r>
        <w:t xml:space="preserve">Open</w:t>
      </w:r>
      <w:r>
        <w:t xml:space="preserve"> </w:t>
      </w:r>
      <w:r>
        <w:rPr>
          <w:b/>
          <w:bCs/>
        </w:rPr>
        <w:t xml:space="preserve">AI Agent Studio</w:t>
      </w:r>
      <w:r>
        <w:t xml:space="preserve"> </w:t>
      </w:r>
      <w:r>
        <w:t xml:space="preserve">— the reliable way is the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menu (top‑left) → type</w:t>
      </w:r>
      <w:r>
        <w:t xml:space="preserve"> </w:t>
      </w:r>
      <w:r>
        <w:rPr>
          <w:rStyle w:val="VerbatimChar"/>
        </w:rPr>
        <w:t xml:space="preserve">AI Agent Studio</w:t>
      </w:r>
      <w:r>
        <w:t xml:space="preserve"> </w:t>
      </w:r>
      <w:r>
        <w:t xml:space="preserve">→ open it. (There’s no stable direct URL; it’s a UXF app shell.</w:t>
      </w:r>
      <w:r>
        <w:t xml:space="preserve"> </w:t>
      </w:r>
      <w:r>
        <w:t xml:space="preserve">The Now Assist</w:t>
      </w:r>
      <w:r>
        <w:t xml:space="preserve"> </w:t>
      </w:r>
      <w:r>
        <w:rPr>
          <w:b/>
          <w:bCs/>
        </w:rPr>
        <w:t xml:space="preserve">Skill Kit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/now/now-assist-skillkit/</w:t>
      </w:r>
      <w:r>
        <w:t xml:space="preserve"> </w:t>
      </w:r>
      <w:r>
        <w:t xml:space="preserve">is the adjacent surface.)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Duplicate a change agent</w:t>
      </w:r>
      <w:r>
        <w:t xml:space="preserve"> </w:t>
      </w:r>
      <w:r>
        <w:t xml:space="preserve">(shipped agents like</w:t>
      </w:r>
      <w:r>
        <w:t xml:space="preserve"> </w:t>
      </w:r>
      <w:r>
        <w:rPr>
          <w:i/>
          <w:iCs/>
        </w:rPr>
        <w:t xml:space="preserve">Change quality assessor</w:t>
      </w:r>
      <w:r>
        <w:t xml:space="preserve"> </w:t>
      </w:r>
      <w:r>
        <w:t xml:space="preserve">carry a</w:t>
      </w:r>
      <w:r>
        <w:t xml:space="preserve"> </w:t>
      </w:r>
      <w:r>
        <w:rPr>
          <w:b/>
          <w:bCs/>
        </w:rPr>
        <w:t xml:space="preserve">protection policy</w:t>
      </w:r>
      <w:r>
        <w:t xml:space="preserve"> </w:t>
      </w:r>
      <w:r>
        <w:t xml:space="preserve">and are read‑only — you can’t add tools to them). Use the agent’s</w:t>
      </w:r>
      <w:r>
        <w:t xml:space="preserve"> </w:t>
      </w:r>
      <w:r>
        <w:rPr>
          <w:b/>
          <w:bCs/>
        </w:rPr>
        <w:t xml:space="preserve">⋮ → Duplicate</w:t>
      </w:r>
      <w:r>
        <w:t xml:space="preserve">, then edit the copy. Or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a new agent.</w:t>
      </w:r>
    </w:p>
    <w:p>
      <w:pPr>
        <w:numPr>
          <w:ilvl w:val="0"/>
          <w:numId w:val="1006"/>
        </w:numPr>
      </w:pPr>
      <w:r>
        <w:t xml:space="preserve">On the copy:</w:t>
      </w:r>
      <w:r>
        <w:t xml:space="preserve"> </w:t>
      </w:r>
      <w:r>
        <w:rPr>
          <w:b/>
          <w:bCs/>
        </w:rPr>
        <w:t xml:space="preserve">Add tools and information → Add tool → From MCP server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Fides MCP server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ground_change</w:t>
      </w:r>
      <w:r>
        <w:t xml:space="preserve">. Adding it</w:t>
      </w:r>
      <w:r>
        <w:t xml:space="preserve"> </w:t>
      </w:r>
      <w:r>
        <w:rPr>
          <w:b/>
          <w:bCs/>
        </w:rPr>
        <w:t xml:space="preserve">syncs the tool</w:t>
      </w:r>
      <w:r>
        <w:t xml:space="preserve">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Tune the agent role</w:t>
      </w:r>
      <w:r>
        <w:t xml:space="preserve"> </w:t>
      </w:r>
      <w:r>
        <w:t xml:space="preserve">(Define the specialty →</w:t>
      </w:r>
      <w:r>
        <w:t xml:space="preserve"> </w:t>
      </w:r>
      <w:r>
        <w:rPr>
          <w:i/>
          <w:iCs/>
        </w:rPr>
        <w:t xml:space="preserve">AI agent role</w:t>
      </w:r>
      <w:r>
        <w:t xml:space="preserve">) so the ReAct engine</w:t>
      </w:r>
      <w:r>
        <w:t xml:space="preserve"> </w:t>
      </w:r>
      <w:r>
        <w:t xml:space="preserve">actually reaches for</w:t>
      </w:r>
      <w:r>
        <w:t xml:space="preserve"> </w:t>
      </w:r>
      <w:r>
        <w:rPr>
          <w:rStyle w:val="VerbatimChar"/>
        </w:rPr>
        <w:t xml:space="preserve">ground_change</w:t>
      </w:r>
      <w:r>
        <w:t xml:space="preserve"> </w:t>
      </w:r>
      <w:r>
        <w:t xml:space="preserve">— otherwise it favours its native change tools: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“For ANY question about a change’s compliance, evidence, risk, or approval‑readiness,</w:t>
      </w:r>
      <w:r>
        <w:rPr>
          <w:i/>
          <w:iCs/>
        </w:rPr>
        <w:t xml:space="preserve"> </w:t>
      </w:r>
      <w:r>
        <w:rPr>
          <w:i/>
          <w:iCs/>
        </w:rPr>
        <w:t xml:space="preserve">&gt; your FIRST action MUST be to call 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ground_change</w:t>
      </w:r>
      <w:r>
        <w:rPr>
          <w:i/>
          <w:iCs/>
        </w:rPr>
        <w:t xml:space="preserve"> </w:t>
      </w:r>
      <w:r>
        <w:rPr>
          <w:i/>
          <w:iCs/>
        </w:rPr>
        <w:t xml:space="preserve">tool with the change’s number,</w:t>
      </w:r>
      <w:r>
        <w:rPr>
          <w:i/>
          <w:iCs/>
        </w:rPr>
        <w:t xml:space="preserve"> </w:t>
      </w:r>
      <w:r>
        <w:rPr>
          <w:i/>
          <w:iCs/>
        </w:rPr>
        <w:t xml:space="preserve">&gt; then answer strictly from the returned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grounding_summary</w:t>
      </w:r>
      <w:r>
        <w:rPr>
          <w:i/>
          <w:iCs/>
        </w:rPr>
        <w:t xml:space="preserve">. Do NOT use similar‑change</w:t>
      </w:r>
      <w:r>
        <w:rPr>
          <w:i/>
          <w:iCs/>
        </w:rPr>
        <w:t xml:space="preserve"> </w:t>
      </w:r>
      <w:r>
        <w:rPr>
          <w:i/>
          <w:iCs/>
        </w:rPr>
        <w:t xml:space="preserve">&gt; lookups or quality summaries for compliance questions.”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1867216"/>
            <wp:effectExtent b="0" l="0" r="0" t="0"/>
            <wp:docPr descr="Agent role tuned to call ground_change first" title="" id="39" name="Picture"/>
            <a:graphic>
              <a:graphicData uri="http://schemas.openxmlformats.org/drawingml/2006/picture">
                <pic:pic>
                  <pic:nvPicPr>
                    <pic:cNvPr descr="images/servicenow-mcp-onboarding/07-agent-role-ground-change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67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Agent role tuned to call ground_change first</w:t>
      </w:r>
    </w:p>
    <w:p>
      <w:pPr>
        <w:numPr>
          <w:ilvl w:val="0"/>
          <w:numId w:val="1006"/>
        </w:numPr>
      </w:pPr>
      <w:r>
        <w:t xml:space="preserve">Publish/activate the new version, set</w:t>
      </w:r>
      <w:r>
        <w:t xml:space="preserve"> </w:t>
      </w:r>
      <w:r>
        <w:rPr>
          <w:b/>
          <w:bCs/>
        </w:rPr>
        <w:t xml:space="preserve">This AI agent is active = Yes</w:t>
      </w:r>
      <w:r>
        <w:t xml:space="preserve">.</w:t>
      </w:r>
    </w:p>
    <w:bookmarkStart w:id="44" w:name="verified-endtoend-20260703"/>
    <w:p>
      <w:pPr>
        <w:pStyle w:val="Heading3"/>
      </w:pPr>
      <w:r>
        <w:t xml:space="preserve">Verified end‑to‑end (2026‑07‑03)</w:t>
      </w:r>
    </w:p>
    <w:p>
      <w:pPr>
        <w:pStyle w:val="FirstParagraph"/>
      </w:pPr>
      <w:r>
        <w:t xml:space="preserve">Tested via</w:t>
      </w:r>
      <w:r>
        <w:t xml:space="preserve"> </w:t>
      </w:r>
      <w:r>
        <w:rPr>
          <w:b/>
          <w:bCs/>
        </w:rPr>
        <w:t xml:space="preserve">AI Agent Studio → Testing</w:t>
      </w:r>
      <w:r>
        <w:t xml:space="preserve"> </w:t>
      </w:r>
      <w:r>
        <w:t xml:space="preserve">with the task</w:t>
      </w:r>
      <w:r>
        <w:t xml:space="preserve"> </w:t>
      </w:r>
      <w:r>
        <w:rPr>
          <w:i/>
          <w:iCs/>
        </w:rPr>
        <w:t xml:space="preserve">“What is the Fides compliance status</w:t>
      </w:r>
      <w:r>
        <w:rPr>
          <w:i/>
          <w:iCs/>
        </w:rPr>
        <w:t xml:space="preserve"> </w:t>
      </w:r>
      <w:r>
        <w:rPr>
          <w:i/>
          <w:iCs/>
        </w:rPr>
        <w:t xml:space="preserve">of change CHG0032508?”</w:t>
      </w:r>
      <w:r>
        <w:t xml:space="preserve">. The decision log shows</w:t>
      </w:r>
      <w:r>
        <w:t xml:space="preserve"> </w:t>
      </w:r>
      <w:r>
        <w:rPr>
          <w:rStyle w:val="VerbatimChar"/>
          <w:b/>
          <w:bCs/>
        </w:rPr>
        <w:t xml:space="preserve">Tool - Ground_change → Completed</w:t>
      </w:r>
      <w:r>
        <w:t xml:space="preserve">, and</w:t>
      </w:r>
      <w:r>
        <w:t xml:space="preserve"> </w:t>
      </w:r>
      <w:r>
        <w:t xml:space="preserve">Now Assist answered with Fides’s authoritative grounding:</w:t>
      </w:r>
    </w:p>
    <w:p>
      <w:pPr>
        <w:pStyle w:val="CaptionedFigure"/>
      </w:pPr>
      <w:r>
        <w:drawing>
          <wp:inline>
            <wp:extent cx="5334000" cy="2357903"/>
            <wp:effectExtent b="0" l="0" r="0" t="0"/>
            <wp:docPr descr="Now Assist decision log calling ground_change, with the grounded compliance answer" title="" id="42" name="Picture"/>
            <a:graphic>
              <a:graphicData uri="http://schemas.openxmlformats.org/drawingml/2006/picture">
                <pic:pic>
                  <pic:nvPicPr>
                    <pic:cNvPr descr="images/servicenow-mcp-onboarding/08-now-assist-grounded-answer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579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Now Assist decision log calling ground_change, with the grounded compliance answer</w:t>
      </w:r>
    </w:p>
    <w:p>
      <w:pPr>
        <w:pStyle w:val="BlockText"/>
      </w:pPr>
      <w:r>
        <w:rPr>
          <w:b/>
          <w:bCs/>
        </w:rPr>
        <w:t xml:space="preserve">Compliance Assessment for Change CHG0032508</w:t>
      </w:r>
      <w:r>
        <w:t xml:space="preserve"> </w:t>
      </w:r>
      <w:r>
        <w:t xml:space="preserve">— Coverage: 37 of 37 required controls</w:t>
      </w:r>
      <w:r>
        <w:t xml:space="preserve"> </w:t>
      </w:r>
      <w:r>
        <w:t xml:space="preserve">have current compliant evidence (0 failing, 0 missing); Risk Score: 40/100 (medium);</w:t>
      </w:r>
      <w:r>
        <w:t xml:space="preserve"> </w:t>
      </w:r>
      <w:r>
        <w:t xml:space="preserve">Recommendation: HOLD; Tamper‑Evidence: chain intact.</w:t>
      </w:r>
      <w:r>
        <w:t xml:space="preserve"> </w:t>
      </w:r>
      <w:r>
        <w:rPr>
          <w:i/>
          <w:iCs/>
        </w:rPr>
        <w:t xml:space="preserve">Source: Fides (advisory —</w:t>
      </w:r>
      <w:r>
        <w:rPr>
          <w:i/>
          <w:iCs/>
        </w:rPr>
        <w:t xml:space="preserve"> </w:t>
      </w:r>
      <w:r>
        <w:rPr>
          <w:i/>
          <w:iCs/>
        </w:rPr>
        <w:t xml:space="preserve">ServiceNow decides).</w:t>
      </w:r>
    </w:p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sn_wdf_mcp_client/.../tools/{tool}/invoke</w:t>
      </w:r>
      <w:r>
        <w:t xml:space="preserve"> </w:t>
      </w:r>
      <w:r>
        <w:t xml:space="preserve">REST path is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framework and reports</w:t>
      </w:r>
      <w:r>
        <w:t xml:space="preserve"> </w:t>
      </w:r>
      <w:r>
        <w:t xml:space="preserve">“No sync record found”</w:t>
      </w:r>
      <w:r>
        <w:t xml:space="preserve"> </w:t>
      </w:r>
      <w:r>
        <w:t xml:space="preserve">— ignore it. AI Agent Studio invokes the</w:t>
      </w:r>
      <w:r>
        <w:t xml:space="preserve"> </w:t>
      </w:r>
      <w:r>
        <w:t xml:space="preserve">tool through the</w:t>
      </w:r>
      <w:r>
        <w:t xml:space="preserve"> </w:t>
      </w:r>
      <w:r>
        <w:rPr>
          <w:rStyle w:val="VerbatimChar"/>
        </w:rPr>
        <w:t xml:space="preserve">sn_aia</w:t>
      </w:r>
      <w:r>
        <w:t xml:space="preserve"> </w:t>
      </w:r>
      <w:r>
        <w:t xml:space="preserve">runtime (as proven above).</w:t>
      </w:r>
    </w:p>
    <w:p>
      <w:pPr>
        <w:pStyle w:val="FirstParagraph"/>
      </w:pPr>
      <w:r>
        <w:t xml:space="preserve">Now Assist can then answer</w:t>
      </w:r>
      <w:r>
        <w:t xml:space="preserve"> </w:t>
      </w:r>
      <w:r>
        <w:rPr>
          <w:i/>
          <w:iCs/>
        </w:rPr>
        <w:t xml:space="preserve">“is CHG… safe to approve?”</w:t>
      </w:r>
      <w:r>
        <w:t xml:space="preserve"> </w:t>
      </w:r>
      <w:r>
        <w:t xml:space="preserve">from Fides’s tamper‑evident</w:t>
      </w:r>
      <w:r>
        <w:t xml:space="preserve"> </w:t>
      </w:r>
      <w:r>
        <w:t xml:space="preserve">control‑coverage + risk, instead of guessing.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troubleshooting-pitfalls-we-hit"/>
    <w:p>
      <w:pPr>
        <w:pStyle w:val="Heading2"/>
      </w:pPr>
      <w:r>
        <w:t xml:space="preserve">Troubleshooting (pitfalls we hit)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Cause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 call returns</w:t>
            </w:r>
            <w:r>
              <w:t xml:space="preserve"> </w:t>
            </w:r>
            <w:r>
              <w:rPr>
                <w:b/>
                <w:bCs/>
              </w:rP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API Key missing the</w:t>
            </w:r>
            <w:r>
              <w:t xml:space="preserve"> </w:t>
            </w:r>
            <w:r>
              <w:rPr>
                <w:rStyle w:val="VerbatimChar"/>
              </w:rPr>
              <w:t xml:space="preserve">Bearer</w:t>
            </w:r>
            <w:r>
              <w:t xml:space="preserve"> </w:t>
            </w:r>
            <w:r>
              <w:t xml:space="preserve">prefix, or wrong header name</w:t>
            </w:r>
          </w:p>
        </w:tc>
        <w:tc>
          <w:tcPr/>
          <w:p>
            <w:pPr>
              <w:pStyle w:val="Compact"/>
            </w:pPr>
            <w:r>
              <w:t xml:space="preserve">API Key =</w:t>
            </w:r>
            <w:r>
              <w:t xml:space="preserve"> </w:t>
            </w:r>
            <w:r>
              <w:rPr>
                <w:rStyle w:val="VerbatimChar"/>
              </w:rPr>
              <w:t xml:space="preserve">Bearer &lt;token&gt;</w:t>
            </w:r>
            <w:r>
              <w:t xml:space="preserve">, Header Name =</w:t>
            </w:r>
            <w:r>
              <w:t xml:space="preserve"> </w:t>
            </w:r>
            <w:r>
              <w:rPr>
                <w:rStyle w:val="VerbatimChar"/>
              </w:rPr>
              <w:t xml:space="preserve">Authorization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Credential</w:t>
            </w:r>
            <w:r>
              <w:t xml:space="preserve"> </w:t>
            </w:r>
            <w:r>
              <w:rPr>
                <w:b/>
                <w:bCs/>
              </w:rPr>
              <w:t xml:space="preserve">alias</w:t>
            </w:r>
            <w:r>
              <w:t xml:space="preserve"> </w:t>
            </w:r>
            <w:r>
              <w:t xml:space="preserve">field shows</w:t>
            </w:r>
            <w:r>
              <w:t xml:space="preserve"> </w:t>
            </w:r>
            <w:r>
              <w:rPr>
                <w:i/>
                <w:iCs/>
              </w:rPr>
              <w:t xml:space="preserve">Invalid reference</w:t>
            </w:r>
          </w:p>
        </w:tc>
        <w:tc>
          <w:tcPr/>
          <w:p>
            <w:pPr>
              <w:pStyle w:val="Compact"/>
            </w:pPr>
            <w:r>
              <w:t xml:space="preserve">Its reference qualifier doesn’t match this alias; no type‑ahead match</w:t>
            </w:r>
          </w:p>
        </w:tc>
        <w:tc>
          <w:tcPr/>
          <w:p>
            <w:pPr>
              <w:pStyle w:val="Compact"/>
            </w:pPr>
            <w:r>
              <w:t xml:space="preserve">Leave it empty — link from the</w:t>
            </w:r>
            <w:r>
              <w:t xml:space="preserve"> </w:t>
            </w:r>
            <w:r>
              <w:rPr>
                <w:b/>
                <w:bCs/>
              </w:rPr>
              <w:t xml:space="preserve">connection → Credential</w:t>
            </w:r>
            <w:r>
              <w:t xml:space="preserve"> </w:t>
            </w:r>
            <w:r>
              <w:t xml:space="preserve">side instead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“No configuration template”</w:t>
            </w:r>
            <w:r>
              <w:t xml:space="preserve"> </w:t>
            </w:r>
            <w:r>
              <w:t xml:space="preserve">banner</w:t>
            </w:r>
          </w:p>
        </w:tc>
        <w:tc>
          <w:tcPr/>
          <w:p>
            <w:pPr>
              <w:pStyle w:val="Compact"/>
            </w:pPr>
            <w:r>
              <w:t xml:space="preserve">Clicked the guided</w:t>
            </w:r>
            <w:r>
              <w:t xml:space="preserve"> </w:t>
            </w:r>
            <w:r>
              <w:rPr>
                <w:i/>
                <w:iCs/>
              </w:rPr>
              <w:t xml:space="preserve">Create New Connection &amp; Credential</w:t>
            </w:r>
            <w:r>
              <w:t xml:space="preserve"> </w:t>
            </w:r>
            <w:r>
              <w:t xml:space="preserve">link</w:t>
            </w:r>
          </w:p>
        </w:tc>
        <w:tc>
          <w:tcPr/>
          <w:p>
            <w:pPr>
              <w:pStyle w:val="Compact"/>
            </w:pPr>
            <w:r>
              <w:t xml:space="preserve">Ignore it; add the Connection + Credential directly from the alias’s related lists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Invoke returns</w:t>
            </w:r>
            <w:r>
              <w:t xml:space="preserve"> </w:t>
            </w:r>
            <w:r>
              <w:rPr>
                <w:i/>
                <w:iCs/>
              </w:rPr>
              <w:t xml:space="preserve">“No sync record found”</w:t>
            </w:r>
          </w:p>
        </w:tc>
        <w:tc>
          <w:tcPr/>
          <w:p>
            <w:pPr>
              <w:pStyle w:val="Compact"/>
            </w:pPr>
            <w:r>
              <w:t xml:space="preserve">Tools discovered but not yet</w:t>
            </w:r>
            <w:r>
              <w:t xml:space="preserve"> </w:t>
            </w:r>
            <w:r>
              <w:rPr>
                <w:b/>
                <w:bCs/>
              </w:rPr>
              <w:t xml:space="preserve">synced</w:t>
            </w:r>
            <w:r>
              <w:t xml:space="preserve"> </w:t>
            </w:r>
            <w:r>
              <w:t xml:space="preserve">into the registry</w:t>
            </w:r>
          </w:p>
        </w:tc>
        <w:tc>
          <w:tcPr/>
          <w:p>
            <w:pPr>
              <w:pStyle w:val="Compact"/>
            </w:pPr>
            <w:r>
              <w:t xml:space="preserve">Attach the server to an agent in AI Agent Studio (Step 7) — that syncs the tools</w:t>
            </w:r>
          </w:p>
        </w:tc>
      </w:tr>
    </w:tbl>
    <w:bookmarkEnd w:id="46"/>
    <w:bookmarkStart w:id="48" w:name="related"/>
    <w:p>
      <w:pPr>
        <w:pStyle w:val="Heading2"/>
      </w:pPr>
      <w:r>
        <w:t xml:space="preserve">Related</w:t>
      </w:r>
    </w:p>
    <w:p>
      <w:pPr>
        <w:pStyle w:val="Compact"/>
        <w:numPr>
          <w:ilvl w:val="0"/>
          <w:numId w:val="1007"/>
        </w:numPr>
      </w:pPr>
      <w:hyperlink r:id="rId10">
        <w:r>
          <w:rPr>
            <w:rStyle w:val="Hyperlink"/>
          </w:rPr>
          <w:t xml:space="preserve">servicenow-mcp.md</w:t>
        </w:r>
      </w:hyperlink>
      <w:r>
        <w:t xml:space="preserve"> </w:t>
      </w:r>
      <w:r>
        <w:t xml:space="preserve">— Fides consuming ServiceNow’s MCP server.</w:t>
      </w:r>
    </w:p>
    <w:p>
      <w:pPr>
        <w:pStyle w:val="Compact"/>
        <w:numPr>
          <w:ilvl w:val="0"/>
          <w:numId w:val="1007"/>
        </w:numPr>
      </w:pPr>
      <w:hyperlink r:id="rId11">
        <w:r>
          <w:rPr>
            <w:rStyle w:val="Hyperlink"/>
          </w:rPr>
          <w:t xml:space="preserve">servicenow-now-assist-grounding.md</w:t>
        </w:r>
      </w:hyperlink>
      <w:r>
        <w:t xml:space="preserve"> </w:t>
      </w:r>
      <w:r>
        <w:t xml:space="preserve">— the grounding endpoint +</w:t>
      </w:r>
      <w:r>
        <w:t xml:space="preserve"> </w:t>
      </w:r>
      <w:r>
        <w:rPr>
          <w:rStyle w:val="VerbatimChar"/>
        </w:rPr>
        <w:t xml:space="preserve">ground_change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hyperlink r:id="rId47">
        <w:r>
          <w:rPr>
            <w:rStyle w:val="Hyperlink"/>
          </w:rPr>
          <w:t xml:space="preserve">servicenow-integration.md</w:t>
        </w:r>
      </w:hyperlink>
      <w:r>
        <w:t xml:space="preserve"> </w:t>
      </w:r>
      <w:r>
        <w:t xml:space="preserve">— change‑gate write‑back, control linkage, CMDB anchoring.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14" Target="media/rId14.png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hyperlink" Id="rId47" Target="servicenow-integration.md" TargetMode="External" /><Relationship Type="http://schemas.openxmlformats.org/officeDocument/2006/relationships/hyperlink" Id="rId9" Target="servicenow-mcp-onboarding.docx" TargetMode="External" /><Relationship Type="http://schemas.openxmlformats.org/officeDocument/2006/relationships/hyperlink" Id="rId10" Target="servicenow-mcp.md" TargetMode="External" /><Relationship Type="http://schemas.openxmlformats.org/officeDocument/2006/relationships/hyperlink" Id="rId11" Target="servicenow-now-assist-grounding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servicenow-integration.md" TargetMode="External" /><Relationship Type="http://schemas.openxmlformats.org/officeDocument/2006/relationships/hyperlink" Id="rId9" Target="servicenow-mcp-onboarding.docx" TargetMode="External" /><Relationship Type="http://schemas.openxmlformats.org/officeDocument/2006/relationships/hyperlink" Id="rId10" Target="servicenow-mcp.md" TargetMode="External" /><Relationship Type="http://schemas.openxmlformats.org/officeDocument/2006/relationships/hyperlink" Id="rId11" Target="servicenow-now-assist-grounding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Onboarding Fides as an MCP server in ServiceNow</dc:title>
  <dc:creator/>
  <cp:keywords/>
  <dcterms:created xsi:type="dcterms:W3CDTF">2026-07-03T12:37:03Z</dcterms:created>
  <dcterms:modified xsi:type="dcterms:W3CDTF">2026-07-03T12:37:03Z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Ground ServiceNow Now Assist in Fides tamper-evident compliance evidence</vt:lpwstr>
  </property>
</Properties>
</file>