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36B9E" w14:textId="77777777" w:rsidR="007D6A03" w:rsidRDefault="00000000">
      <w:pPr>
        <w:spacing w:after="60"/>
      </w:pPr>
      <w:r>
        <w:rPr>
          <w:b/>
          <w:bCs/>
          <w:color w:val="1B3A5C"/>
          <w:sz w:val="44"/>
          <w:szCs w:val="44"/>
        </w:rPr>
        <w:t>Project Eagle</w:t>
      </w:r>
    </w:p>
    <w:p w14:paraId="0AD46E7C" w14:textId="77777777" w:rsidR="007D6A03" w:rsidRDefault="00000000">
      <w:pPr>
        <w:spacing w:after="60"/>
      </w:pPr>
      <w:r>
        <w:rPr>
          <w:i/>
          <w:iCs/>
          <w:color w:val="64748B"/>
          <w:sz w:val="22"/>
          <w:szCs w:val="22"/>
        </w:rPr>
        <w:t>Blueprint for an AI-native reporting factory  ·  Version 0.3</w:t>
      </w:r>
    </w:p>
    <w:p w14:paraId="129F359C" w14:textId="77777777" w:rsidR="007D6A03" w:rsidRDefault="007D6A03">
      <w:pPr>
        <w:pBdr>
          <w:bottom w:val="single" w:sz="6" w:space="1" w:color="2563EB"/>
        </w:pBdr>
        <w:spacing w:after="200"/>
      </w:pPr>
    </w:p>
    <w:p w14:paraId="00D85BBF" w14:textId="77777777" w:rsidR="007D6A03" w:rsidRDefault="00000000">
      <w:pPr>
        <w:spacing w:after="140"/>
      </w:pPr>
      <w:r>
        <w:rPr>
          <w:b/>
          <w:bCs/>
          <w:color w:val="1B3A5C"/>
          <w:sz w:val="28"/>
          <w:szCs w:val="28"/>
        </w:rPr>
        <w:t>Principles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2784"/>
        <w:gridCol w:w="6625"/>
      </w:tblGrid>
      <w:tr w:rsidR="007D6A03" w14:paraId="6BF76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4591A" w14:textId="77777777" w:rsidR="007D6A0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ADC16" w14:textId="77777777" w:rsidR="007D6A03" w:rsidRDefault="00000000">
            <w:r>
              <w:rPr>
                <w:b/>
                <w:bCs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A32AF" w14:textId="77777777" w:rsidR="007D6A03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D6A03" w14:paraId="6CF51C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CBF63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6E88B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Customer experience first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40373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 xml:space="preserve">Simplicity, reliability and predictability over </w:t>
            </w:r>
            <w:proofErr w:type="spellStart"/>
            <w:r w:rsidRPr="00E76660">
              <w:rPr>
                <w:color w:val="000000" w:themeColor="text1"/>
                <w:sz w:val="19"/>
                <w:szCs w:val="19"/>
              </w:rPr>
              <w:t>customisation</w:t>
            </w:r>
            <w:proofErr w:type="spellEnd"/>
            <w:r w:rsidRPr="00E76660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7D6A03" w14:paraId="4739E7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AD744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10EC3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Code-first, human-by-exception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03E7B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>All processes run through a central orchestration layer; humans intervene only for exceptions, judgement and improvement.</w:t>
            </w:r>
          </w:p>
        </w:tc>
      </w:tr>
      <w:tr w:rsidR="007D6A03" w14:paraId="37B373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951AD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F2201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proofErr w:type="spellStart"/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Standardised</w:t>
            </w:r>
            <w:proofErr w:type="spellEnd"/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 xml:space="preserve"> product with predictable output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85722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>Fixed scope, reproducible quality and transparent pricing — no bespoke.</w:t>
            </w:r>
          </w:p>
        </w:tc>
      </w:tr>
      <w:tr w:rsidR="007D6A03" w14:paraId="6DFFCF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0CE2E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2C64D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Single source of truth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E611A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>One canonical data model; quality, lineage and ownership are explicit and controlled.</w:t>
            </w:r>
          </w:p>
        </w:tc>
      </w:tr>
      <w:tr w:rsidR="007D6A03" w14:paraId="06262D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5BAE3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F3E1A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Deterministic core, probabilistic edge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E48A8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 xml:space="preserve">Calculations and compliance logic are deterministic; AI is used only for interpretation, transformation and </w:t>
            </w:r>
            <w:proofErr w:type="spellStart"/>
            <w:r w:rsidRPr="00E76660">
              <w:rPr>
                <w:color w:val="000000" w:themeColor="text1"/>
                <w:sz w:val="19"/>
                <w:szCs w:val="19"/>
              </w:rPr>
              <w:t>optimisation</w:t>
            </w:r>
            <w:proofErr w:type="spellEnd"/>
            <w:r w:rsidRPr="00E76660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7D6A03" w14:paraId="312B83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77546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AB727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Modular and portable technology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119E7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 xml:space="preserve">Logic, data and rules are separated from AI models and infrastructure to </w:t>
            </w:r>
            <w:proofErr w:type="spellStart"/>
            <w:r w:rsidRPr="00E76660">
              <w:rPr>
                <w:color w:val="000000" w:themeColor="text1"/>
                <w:sz w:val="19"/>
                <w:szCs w:val="19"/>
              </w:rPr>
              <w:t>minimise</w:t>
            </w:r>
            <w:proofErr w:type="spellEnd"/>
            <w:r w:rsidRPr="00E76660">
              <w:rPr>
                <w:color w:val="000000" w:themeColor="text1"/>
                <w:sz w:val="19"/>
                <w:szCs w:val="19"/>
              </w:rPr>
              <w:t xml:space="preserve"> lock-in.</w:t>
            </w:r>
          </w:p>
        </w:tc>
      </w:tr>
      <w:tr w:rsidR="007D6A03" w14:paraId="6254E5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F1F79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74726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Resilience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16B7A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>Every process has defined failure modes, fallback mechanisms and escalation paths.</w:t>
            </w:r>
          </w:p>
        </w:tc>
      </w:tr>
      <w:tr w:rsidR="007D6A03" w14:paraId="2C42BF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B6307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2ED31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Compliance-proof by design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24F23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>Compliance logic is deterministic, auditable and explainable; AI supports but never decides.</w:t>
            </w:r>
          </w:p>
        </w:tc>
      </w:tr>
      <w:tr w:rsidR="007D6A03" w14:paraId="005B2D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90D15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79CF8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Security by design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DB4BB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>Security is a structural property of all systems, not an afterthought; data is isolated per client, access is least-privilege by default, and all data is encrypted in transit and at rest.</w:t>
            </w:r>
          </w:p>
        </w:tc>
      </w:tr>
      <w:tr w:rsidR="007D6A03" w14:paraId="45E5FA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29B87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5703F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Founder-independent by design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FFFD2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>All knowledge, rules and processes are fully codified in systems, enabling independence within two years of launch.</w:t>
            </w:r>
          </w:p>
        </w:tc>
      </w:tr>
      <w:tr w:rsidR="007D6A03" w14:paraId="59ED70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5DB7B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1BF06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Continuous learning system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A0BA4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>Every process generates feedback data used to systematically improve models, rules and outputs.</w:t>
            </w:r>
          </w:p>
        </w:tc>
      </w:tr>
      <w:tr w:rsidR="007D6A03" w14:paraId="63BA81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EAEEB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91370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Ambitious growth and profitability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B6DA7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>Cash flow positive within two years, &gt;€1M ARR and &gt;50% EBITDA margin.</w:t>
            </w:r>
          </w:p>
        </w:tc>
      </w:tr>
      <w:tr w:rsidR="007D6A03" w14:paraId="137231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3538C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8D7CF" w14:textId="77777777" w:rsidR="007D6A03" w:rsidRPr="00E76660" w:rsidRDefault="00000000">
            <w:pPr>
              <w:spacing w:before="20" w:after="20"/>
              <w:rPr>
                <w:b/>
                <w:bCs/>
                <w:color w:val="000000" w:themeColor="text1"/>
              </w:rPr>
            </w:pPr>
            <w:r w:rsidRPr="00E76660">
              <w:rPr>
                <w:b/>
                <w:bCs/>
                <w:color w:val="000000" w:themeColor="text1"/>
                <w:sz w:val="19"/>
                <w:szCs w:val="19"/>
              </w:rPr>
              <w:t>Internationally oriented</w:t>
            </w:r>
          </w:p>
        </w:tc>
        <w:tc>
          <w:tcPr>
            <w:tcW w:w="669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BF1A6" w14:textId="77777777" w:rsidR="007D6A03" w:rsidRPr="00E76660" w:rsidRDefault="00000000">
            <w:pPr>
              <w:spacing w:before="20" w:after="20"/>
              <w:rPr>
                <w:color w:val="000000" w:themeColor="text1"/>
              </w:rPr>
            </w:pPr>
            <w:r w:rsidRPr="00E76660">
              <w:rPr>
                <w:color w:val="000000" w:themeColor="text1"/>
                <w:sz w:val="19"/>
                <w:szCs w:val="19"/>
              </w:rPr>
              <w:t>Products offered worldwide; all communication in English.</w:t>
            </w:r>
          </w:p>
        </w:tc>
      </w:tr>
    </w:tbl>
    <w:p w14:paraId="1EECECF9" w14:textId="77777777" w:rsidR="007D6A03" w:rsidRDefault="007D6A03">
      <w:pPr>
        <w:sectPr w:rsidR="007D6A03">
          <w:pgSz w:w="12240" w:h="15840"/>
          <w:pgMar w:top="1008" w:right="1008" w:bottom="1008" w:left="1008" w:header="708" w:footer="708" w:gutter="0"/>
          <w:cols w:space="720"/>
          <w:docGrid w:linePitch="360"/>
        </w:sectPr>
      </w:pPr>
    </w:p>
    <w:p w14:paraId="024BD717" w14:textId="77777777" w:rsidR="007D6A03" w:rsidRDefault="00000000">
      <w:pPr>
        <w:spacing w:after="60"/>
      </w:pPr>
      <w:r>
        <w:rPr>
          <w:b/>
          <w:bCs/>
          <w:color w:val="1B3A5C"/>
          <w:sz w:val="44"/>
          <w:szCs w:val="44"/>
        </w:rPr>
        <w:lastRenderedPageBreak/>
        <w:t>Project Eagle</w:t>
      </w:r>
    </w:p>
    <w:p w14:paraId="32873D89" w14:textId="77777777" w:rsidR="007D6A03" w:rsidRDefault="00000000">
      <w:pPr>
        <w:spacing w:after="60"/>
      </w:pPr>
      <w:r>
        <w:rPr>
          <w:i/>
          <w:iCs/>
          <w:color w:val="64748B"/>
          <w:sz w:val="26"/>
          <w:szCs w:val="26"/>
        </w:rPr>
        <w:t>Role Structure — Phases 1 &amp; 2</w:t>
      </w:r>
    </w:p>
    <w:p w14:paraId="095082BF" w14:textId="77777777" w:rsidR="007D6A03" w:rsidRDefault="007D6A03">
      <w:pPr>
        <w:pBdr>
          <w:bottom w:val="single" w:sz="6" w:space="1" w:color="2563EB"/>
        </w:pBdr>
        <w:spacing w:after="60"/>
      </w:pPr>
    </w:p>
    <w:p w14:paraId="70B498EC" w14:textId="77777777" w:rsidR="007D6A03" w:rsidRDefault="00000000">
      <w:pPr>
        <w:spacing w:before="80" w:after="140"/>
      </w:pPr>
      <w:r>
        <w:rPr>
          <w:b/>
          <w:bCs/>
          <w:color w:val="64748B"/>
          <w:sz w:val="18"/>
          <w:szCs w:val="18"/>
        </w:rPr>
        <w:t xml:space="preserve">Legend:   </w:t>
      </w:r>
      <w:r>
        <w:rPr>
          <w:b/>
          <w:bCs/>
          <w:color w:val="065F46"/>
          <w:sz w:val="18"/>
          <w:szCs w:val="18"/>
          <w:highlight w:val="green"/>
        </w:rPr>
        <w:t xml:space="preserve">  Phase 1 combination  </w:t>
      </w:r>
      <w:r>
        <w:t xml:space="preserve">     </w:t>
      </w:r>
      <w:r>
        <w:rPr>
          <w:b/>
          <w:bCs/>
          <w:color w:val="92400E"/>
          <w:sz w:val="18"/>
          <w:szCs w:val="18"/>
          <w:highlight w:val="yellow"/>
        </w:rPr>
        <w:t xml:space="preserve">  When to split  </w:t>
      </w: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824"/>
        <w:gridCol w:w="3100"/>
        <w:gridCol w:w="3100"/>
      </w:tblGrid>
      <w:tr w:rsidR="007D6A03" w14:paraId="32C70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B9722" w14:textId="77777777" w:rsidR="007D6A03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58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1E7DD" w14:textId="77777777" w:rsidR="007D6A03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Responsibilities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8F46F" w14:textId="77777777" w:rsidR="007D6A03" w:rsidRDefault="00000000">
            <w:r>
              <w:rPr>
                <w:b/>
                <w:bCs/>
                <w:color w:val="FFFFFF"/>
                <w:sz w:val="19"/>
                <w:szCs w:val="19"/>
              </w:rPr>
              <w:t>Phase 1 — who covers it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6166D" w14:textId="77777777" w:rsidR="007D6A03" w:rsidRDefault="00000000">
            <w:r>
              <w:rPr>
                <w:b/>
                <w:bCs/>
                <w:color w:val="FFFFFF"/>
                <w:sz w:val="19"/>
                <w:szCs w:val="19"/>
              </w:rPr>
              <w:t>When to split</w:t>
            </w:r>
          </w:p>
        </w:tc>
      </w:tr>
      <w:tr w:rsidR="007D6A03" w14:paraId="74DDE7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70A11" w14:textId="77777777" w:rsidR="007D6A03" w:rsidRDefault="00000000">
            <w:pPr>
              <w:spacing w:before="20" w:after="20"/>
            </w:pPr>
            <w:r>
              <w:rPr>
                <w:b/>
                <w:bCs/>
                <w:color w:val="1B3A5C"/>
              </w:rPr>
              <w:t>CEO</w:t>
            </w:r>
          </w:p>
          <w:p w14:paraId="20F9F210" w14:textId="77777777" w:rsidR="007D6A03" w:rsidRDefault="00000000">
            <w:pPr>
              <w:spacing w:before="20"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>Strategy, capital &amp; key relationships</w:t>
            </w:r>
          </w:p>
        </w:tc>
        <w:tc>
          <w:tcPr>
            <w:tcW w:w="58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81905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Company strategy, vision and market positioning</w:t>
            </w:r>
          </w:p>
          <w:p w14:paraId="2A749A0D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Fundraising, investor relations and board management</w:t>
            </w:r>
          </w:p>
          <w:p w14:paraId="5646B844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Capital allocation and major investment decisions</w:t>
            </w:r>
          </w:p>
          <w:p w14:paraId="7217F6D8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Relationship owner for top-tier AIFM clients and strategic partners</w:t>
            </w:r>
          </w:p>
          <w:p w14:paraId="1C65BD20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Alignment between commercial, technology and operations</w:t>
            </w:r>
          </w:p>
          <w:p w14:paraId="06152376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External representation: press, conferences, industry bodies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E0722" w14:textId="77777777" w:rsidR="007D6A03" w:rsidRDefault="00000000">
            <w:pPr>
              <w:spacing w:before="20" w:after="20"/>
            </w:pPr>
            <w:r>
              <w:rPr>
                <w:color w:val="065F46"/>
                <w:sz w:val="19"/>
                <w:szCs w:val="19"/>
              </w:rPr>
              <w:t>Founder — also covers CRO until dedicated hire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49610" w14:textId="77777777" w:rsidR="007D6A03" w:rsidRDefault="00000000">
            <w:pPr>
              <w:spacing w:before="20" w:after="20"/>
            </w:pPr>
            <w:r>
              <w:rPr>
                <w:color w:val="92400E"/>
                <w:sz w:val="19"/>
                <w:szCs w:val="19"/>
              </w:rPr>
              <w:t>Hire CRO when pipeline exceeds single-person capacity (~€500K ARR)</w:t>
            </w:r>
          </w:p>
        </w:tc>
      </w:tr>
      <w:tr w:rsidR="007D6A03" w14:paraId="31C5E8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B38FF" w14:textId="77777777" w:rsidR="007D6A03" w:rsidRDefault="00000000">
            <w:pPr>
              <w:spacing w:before="20" w:after="20"/>
            </w:pPr>
            <w:r>
              <w:rPr>
                <w:b/>
                <w:bCs/>
                <w:color w:val="1B3A5C"/>
              </w:rPr>
              <w:t>CRO</w:t>
            </w:r>
          </w:p>
          <w:p w14:paraId="499642B6" w14:textId="77777777" w:rsidR="007D6A03" w:rsidRDefault="00000000">
            <w:pPr>
              <w:spacing w:before="20"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>New revenue, pipeline &amp; commercial contracts</w:t>
            </w:r>
          </w:p>
        </w:tc>
        <w:tc>
          <w:tcPr>
            <w:tcW w:w="58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A232D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Sales strategy and pipeline management (AIFM segment focus)</w:t>
            </w:r>
          </w:p>
          <w:p w14:paraId="62743B67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Client acquisition: prospecting, demos, negotiation and closing</w:t>
            </w:r>
          </w:p>
          <w:p w14:paraId="2017D841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 xml:space="preserve">Pricing strategy aligned with the </w:t>
            </w:r>
            <w:proofErr w:type="spellStart"/>
            <w:r>
              <w:rPr>
                <w:sz w:val="19"/>
                <w:szCs w:val="19"/>
              </w:rPr>
              <w:t>standardised</w:t>
            </w:r>
            <w:proofErr w:type="spellEnd"/>
            <w:r>
              <w:rPr>
                <w:sz w:val="19"/>
                <w:szCs w:val="19"/>
              </w:rPr>
              <w:t xml:space="preserve"> product model</w:t>
            </w:r>
          </w:p>
          <w:p w14:paraId="4DCFF66D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Commercial contract structuring and legal coordination</w:t>
            </w:r>
          </w:p>
          <w:p w14:paraId="3E2D9202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Structured product feedback loop to CTO/CPO — without bespoke scope creep</w:t>
            </w:r>
          </w:p>
          <w:p w14:paraId="75472B78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Renewal coordination with Customer Success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B8524" w14:textId="77777777" w:rsidR="007D6A03" w:rsidRDefault="00000000">
            <w:pPr>
              <w:spacing w:before="20" w:after="20"/>
            </w:pPr>
            <w:r>
              <w:rPr>
                <w:color w:val="065F46"/>
                <w:sz w:val="19"/>
                <w:szCs w:val="19"/>
              </w:rPr>
              <w:t>Combined with CEO (founder-led sales)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F9B4E" w14:textId="77777777" w:rsidR="007D6A03" w:rsidRDefault="00000000">
            <w:pPr>
              <w:spacing w:before="20" w:after="20"/>
            </w:pPr>
            <w:r>
              <w:rPr>
                <w:color w:val="92400E"/>
                <w:sz w:val="19"/>
                <w:szCs w:val="19"/>
              </w:rPr>
              <w:t>Hire at ~€500K ARR or when sales cycle complexity requires full-time focus</w:t>
            </w:r>
          </w:p>
        </w:tc>
      </w:tr>
      <w:tr w:rsidR="007D6A03" w14:paraId="009B97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0EAC5" w14:textId="77777777" w:rsidR="007D6A03" w:rsidRDefault="00000000">
            <w:pPr>
              <w:spacing w:before="20" w:after="20"/>
            </w:pPr>
            <w:r>
              <w:rPr>
                <w:b/>
                <w:bCs/>
                <w:color w:val="1B3A5C"/>
              </w:rPr>
              <w:t>CTO / CPO</w:t>
            </w:r>
          </w:p>
          <w:p w14:paraId="56EB4202" w14:textId="77777777" w:rsidR="007D6A03" w:rsidRDefault="00000000">
            <w:pPr>
              <w:spacing w:before="20"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>System architecture, product roadmap &amp; AI governance</w:t>
            </w:r>
          </w:p>
        </w:tc>
        <w:tc>
          <w:tcPr>
            <w:tcW w:w="58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03AA5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Overall system architecture: orchestration layer, agents, data layer</w:t>
            </w:r>
          </w:p>
          <w:p w14:paraId="12E67F58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Design and maintenance of the code-first execution model</w:t>
            </w:r>
          </w:p>
          <w:p w14:paraId="2FB01DAC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 xml:space="preserve">Product roadmap ownership and </w:t>
            </w:r>
            <w:proofErr w:type="spellStart"/>
            <w:r>
              <w:rPr>
                <w:sz w:val="19"/>
                <w:szCs w:val="19"/>
              </w:rPr>
              <w:t>prioritisation</w:t>
            </w:r>
            <w:proofErr w:type="spellEnd"/>
          </w:p>
          <w:p w14:paraId="126F2CFF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Translation of regulatory and client requirements into functional specs</w:t>
            </w:r>
          </w:p>
          <w:p w14:paraId="4E1E007D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Data architecture and integrity of the single source of truth</w:t>
            </w:r>
          </w:p>
          <w:p w14:paraId="70058AAF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AI/ML governance: model monitoring, retraining and version management</w:t>
            </w:r>
          </w:p>
          <w:p w14:paraId="1FA63C29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Security, access control and infrastructure reliability</w:t>
            </w:r>
          </w:p>
          <w:p w14:paraId="475EA99D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Modularity and minimal vendor lock-in by design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DD922" w14:textId="77777777" w:rsidR="007D6A03" w:rsidRDefault="00000000">
            <w:pPr>
              <w:spacing w:before="20" w:after="20"/>
            </w:pPr>
            <w:r>
              <w:rPr>
                <w:color w:val="065F46"/>
                <w:sz w:val="19"/>
                <w:szCs w:val="19"/>
              </w:rPr>
              <w:t>Founder — carries both CTO and CPO responsibilities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FB2CF" w14:textId="77777777" w:rsidR="007D6A03" w:rsidRDefault="00000000">
            <w:pPr>
              <w:spacing w:before="20" w:after="20"/>
            </w:pPr>
            <w:r>
              <w:rPr>
                <w:color w:val="92400E"/>
                <w:sz w:val="19"/>
                <w:szCs w:val="19"/>
              </w:rPr>
              <w:t>Hire Head of Engineering when 3+ engineers; separate CPO at ~€2M ARR / Series A</w:t>
            </w:r>
          </w:p>
        </w:tc>
      </w:tr>
      <w:tr w:rsidR="007D6A03" w14:paraId="316542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59D15" w14:textId="77777777" w:rsidR="007D6A03" w:rsidRDefault="00000000">
            <w:pPr>
              <w:spacing w:before="20" w:after="20"/>
            </w:pPr>
            <w:r>
              <w:rPr>
                <w:b/>
                <w:bCs/>
                <w:color w:val="1B3A5C"/>
              </w:rPr>
              <w:t>Head of Engineering</w:t>
            </w:r>
          </w:p>
          <w:p w14:paraId="14383069" w14:textId="77777777" w:rsidR="007D6A03" w:rsidRDefault="00000000">
            <w:pPr>
              <w:spacing w:before="20" w:after="20"/>
            </w:pPr>
            <w:r>
              <w:rPr>
                <w:i/>
                <w:iCs/>
                <w:color w:val="64748B"/>
                <w:sz w:val="17"/>
                <w:szCs w:val="17"/>
              </w:rPr>
              <w:lastRenderedPageBreak/>
              <w:t>Engineering execution, reliability &amp; delivery</w:t>
            </w:r>
          </w:p>
        </w:tc>
        <w:tc>
          <w:tcPr>
            <w:tcW w:w="58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5DBE0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lastRenderedPageBreak/>
              <w:t>Day-to-day delivery of the engineering roadmap</w:t>
            </w:r>
          </w:p>
          <w:p w14:paraId="57F0EEE6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Agent and pipeline development and maintenance</w:t>
            </w:r>
          </w:p>
          <w:p w14:paraId="5109D52E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Code quality, testing standards and CI/CD practices</w:t>
            </w:r>
          </w:p>
          <w:p w14:paraId="01442792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lastRenderedPageBreak/>
              <w:t>System monitoring, incident response and SLA adherence</w:t>
            </w:r>
          </w:p>
          <w:p w14:paraId="2EAEC80F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Onboarding and mentoring of engineers</w:t>
            </w:r>
          </w:p>
          <w:p w14:paraId="023DADE3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 xml:space="preserve">Infrastructure cost management and </w:t>
            </w:r>
            <w:proofErr w:type="spellStart"/>
            <w:r>
              <w:rPr>
                <w:sz w:val="19"/>
                <w:szCs w:val="19"/>
              </w:rPr>
              <w:t>optimisation</w:t>
            </w:r>
            <w:proofErr w:type="spellEnd"/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4928E" w14:textId="77777777" w:rsidR="007D6A03" w:rsidRDefault="00000000">
            <w:pPr>
              <w:spacing w:before="20" w:after="20"/>
            </w:pPr>
            <w:r>
              <w:rPr>
                <w:color w:val="065F46"/>
                <w:sz w:val="19"/>
                <w:szCs w:val="19"/>
              </w:rPr>
              <w:lastRenderedPageBreak/>
              <w:t>First non-founder engineering hire; CTO covers in the interim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70C72" w14:textId="77777777" w:rsidR="007D6A03" w:rsidRDefault="00000000">
            <w:pPr>
              <w:spacing w:before="20" w:after="20"/>
            </w:pPr>
            <w:r>
              <w:rPr>
                <w:color w:val="92400E"/>
                <w:sz w:val="19"/>
                <w:szCs w:val="19"/>
              </w:rPr>
              <w:t>First hire as soon as product enters production</w:t>
            </w:r>
          </w:p>
        </w:tc>
      </w:tr>
      <w:tr w:rsidR="007D6A03" w14:paraId="64D92C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E8CEE" w14:textId="77777777" w:rsidR="007D6A03" w:rsidRDefault="00000000">
            <w:pPr>
              <w:spacing w:before="20" w:after="20"/>
            </w:pPr>
            <w:r>
              <w:rPr>
                <w:b/>
                <w:bCs/>
                <w:color w:val="1B3A5C"/>
              </w:rPr>
              <w:t>COO</w:t>
            </w:r>
          </w:p>
          <w:p w14:paraId="6D313D62" w14:textId="77777777" w:rsidR="007D6A03" w:rsidRDefault="00000000">
            <w:pPr>
              <w:spacing w:before="20"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>Operational performance, scalability &amp; vendors</w:t>
            </w:r>
          </w:p>
        </w:tc>
        <w:tc>
          <w:tcPr>
            <w:tcW w:w="58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CB7EA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End-to-end operational performance of the reporting factory</w:t>
            </w:r>
          </w:p>
          <w:p w14:paraId="23F84149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Process design, documentation and continuous improvement</w:t>
            </w:r>
          </w:p>
          <w:p w14:paraId="05ED469E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 xml:space="preserve">SLA management, throughput </w:t>
            </w:r>
            <w:proofErr w:type="spellStart"/>
            <w:r>
              <w:rPr>
                <w:sz w:val="19"/>
                <w:szCs w:val="19"/>
              </w:rPr>
              <w:t>optimisation</w:t>
            </w:r>
            <w:proofErr w:type="spellEnd"/>
            <w:r>
              <w:rPr>
                <w:sz w:val="19"/>
                <w:szCs w:val="19"/>
              </w:rPr>
              <w:t xml:space="preserve"> and automation ratio</w:t>
            </w:r>
          </w:p>
          <w:p w14:paraId="7ABADE9B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Exception handling framework and escalation procedures</w:t>
            </w:r>
          </w:p>
          <w:p w14:paraId="6DFADDE3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Capacity planning and operational scalability</w:t>
            </w:r>
          </w:p>
          <w:p w14:paraId="4C1F37CA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Quality assurance and output consistency</w:t>
            </w:r>
          </w:p>
          <w:p w14:paraId="64AC10A1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Vendor and third-party data partner management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6DEEF" w14:textId="77777777" w:rsidR="007D6A03" w:rsidRDefault="00000000">
            <w:pPr>
              <w:spacing w:before="20" w:after="20"/>
            </w:pPr>
            <w:r>
              <w:rPr>
                <w:color w:val="065F46"/>
                <w:sz w:val="19"/>
                <w:szCs w:val="19"/>
              </w:rPr>
              <w:t>Founder — combined with CFO responsibilities in Phase 1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3469F" w14:textId="77777777" w:rsidR="007D6A03" w:rsidRDefault="00000000">
            <w:pPr>
              <w:spacing w:before="20" w:after="20"/>
            </w:pPr>
            <w:r>
              <w:rPr>
                <w:color w:val="92400E"/>
                <w:sz w:val="19"/>
                <w:szCs w:val="19"/>
              </w:rPr>
              <w:t>Separate CFO when financial complexity demands it (~€1M ARR or external funding)</w:t>
            </w:r>
          </w:p>
        </w:tc>
      </w:tr>
      <w:tr w:rsidR="007D6A03" w14:paraId="26C4F5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6F700" w14:textId="77777777" w:rsidR="007D6A03" w:rsidRDefault="00000000">
            <w:pPr>
              <w:spacing w:before="20" w:after="20"/>
            </w:pPr>
            <w:r>
              <w:rPr>
                <w:b/>
                <w:bCs/>
                <w:color w:val="1B3A5C"/>
              </w:rPr>
              <w:t>CFO</w:t>
            </w:r>
          </w:p>
          <w:p w14:paraId="0C8EA3C1" w14:textId="77777777" w:rsidR="007D6A03" w:rsidRDefault="00000000">
            <w:pPr>
              <w:spacing w:before="20"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>Financial control, unit economics &amp; risk</w:t>
            </w:r>
          </w:p>
        </w:tc>
        <w:tc>
          <w:tcPr>
            <w:tcW w:w="58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CD431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Financial management, reporting and control framework</w:t>
            </w:r>
          </w:p>
          <w:p w14:paraId="6DD534AA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Budgeting, forecasting and cash flow management</w:t>
            </w:r>
          </w:p>
          <w:p w14:paraId="275247EF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Financial reporting and coordination with external accountants</w:t>
            </w:r>
          </w:p>
          <w:p w14:paraId="1A9E5E23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Billing, invoicing and revenue recognition</w:t>
            </w:r>
          </w:p>
          <w:p w14:paraId="488E350A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Alignment: pricing (CRO) × delivery (COO) × financial outcomes</w:t>
            </w:r>
          </w:p>
          <w:p w14:paraId="12958FAF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Unit economics, margin monitoring and cost structure</w:t>
            </w:r>
          </w:p>
          <w:p w14:paraId="0EB5F841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Financial risk management and liquidity planning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19A9F" w14:textId="77777777" w:rsidR="007D6A03" w:rsidRDefault="00000000">
            <w:pPr>
              <w:spacing w:before="20" w:after="20"/>
            </w:pPr>
            <w:r>
              <w:rPr>
                <w:color w:val="065F46"/>
                <w:sz w:val="19"/>
                <w:szCs w:val="19"/>
              </w:rPr>
              <w:t>Fractional CFO or combined with COO (founder) in Phase 1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5AAC4" w14:textId="77777777" w:rsidR="007D6A03" w:rsidRDefault="00000000">
            <w:pPr>
              <w:spacing w:before="20" w:after="20"/>
            </w:pPr>
            <w:r>
              <w:rPr>
                <w:color w:val="92400E"/>
                <w:sz w:val="19"/>
                <w:szCs w:val="19"/>
              </w:rPr>
              <w:t>Full-time at ~€1M ARR or when institutional funding is raised</w:t>
            </w:r>
          </w:p>
        </w:tc>
      </w:tr>
      <w:tr w:rsidR="007D6A03" w14:paraId="483899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5307F" w14:textId="77777777" w:rsidR="007D6A03" w:rsidRDefault="00000000">
            <w:pPr>
              <w:spacing w:before="20" w:after="20"/>
            </w:pPr>
            <w:r>
              <w:rPr>
                <w:b/>
                <w:bCs/>
                <w:color w:val="1B3A5C"/>
              </w:rPr>
              <w:t>Head of Compliance &amp; Risk</w:t>
            </w:r>
          </w:p>
          <w:p w14:paraId="7B2257D1" w14:textId="77777777" w:rsidR="007D6A03" w:rsidRDefault="00000000">
            <w:pPr>
              <w:spacing w:before="20"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>Regulatory framework, AI oversight &amp; audit</w:t>
            </w:r>
          </w:p>
        </w:tc>
        <w:tc>
          <w:tcPr>
            <w:tcW w:w="58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FEB7A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Design and maintenance of the compliance framework (AIFMD-aligned)</w:t>
            </w:r>
          </w:p>
          <w:p w14:paraId="7F499F94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Regulatory horizon scanning: ESMA, ESG reporting, AIFMD changes</w:t>
            </w:r>
          </w:p>
          <w:p w14:paraId="467BDF23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Oversight of internal controls, audit trails and documentation</w:t>
            </w:r>
          </w:p>
          <w:p w14:paraId="192C0A9F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Risk management: operational, technological and regulatory</w:t>
            </w:r>
          </w:p>
          <w:p w14:paraId="49A0457C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AI usage oversight — no autonomous decisions in regulated areas</w:t>
            </w:r>
          </w:p>
          <w:p w14:paraId="24968A14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External audit coordination (ISAE 3402 / SOC 2)</w:t>
            </w:r>
          </w:p>
          <w:p w14:paraId="3E3BE78C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GDPR and data privacy policy ownership</w:t>
            </w:r>
          </w:p>
          <w:p w14:paraId="1B2ECE3D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Independent validation of product specifications and outputs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AAE9C" w14:textId="77777777" w:rsidR="007D6A03" w:rsidRDefault="00000000">
            <w:pPr>
              <w:spacing w:before="20" w:after="20"/>
            </w:pPr>
            <w:r>
              <w:rPr>
                <w:color w:val="065F46"/>
                <w:sz w:val="19"/>
                <w:szCs w:val="19"/>
              </w:rPr>
              <w:t>Founder — standalone from day 1 given regulatory sensitivity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97635" w14:textId="77777777" w:rsidR="007D6A03" w:rsidRDefault="00000000">
            <w:pPr>
              <w:spacing w:before="20" w:after="20"/>
            </w:pPr>
            <w:r>
              <w:rPr>
                <w:color w:val="92400E"/>
                <w:sz w:val="19"/>
                <w:szCs w:val="19"/>
              </w:rPr>
              <w:t>N/A — standalone from the start; add Compliance Analyst at scale</w:t>
            </w:r>
          </w:p>
        </w:tc>
      </w:tr>
      <w:tr w:rsidR="007D6A03" w14:paraId="48880F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5EA4A" w14:textId="77777777" w:rsidR="007D6A03" w:rsidRDefault="00000000">
            <w:pPr>
              <w:spacing w:before="20" w:after="20"/>
            </w:pPr>
            <w:r>
              <w:rPr>
                <w:b/>
                <w:bCs/>
                <w:color w:val="1B3A5C"/>
              </w:rPr>
              <w:t>Head of Customer Success</w:t>
            </w:r>
          </w:p>
          <w:p w14:paraId="66D9FF75" w14:textId="77777777" w:rsidR="007D6A03" w:rsidRDefault="00000000">
            <w:pPr>
              <w:spacing w:before="20" w:after="20"/>
            </w:pPr>
            <w:r>
              <w:rPr>
                <w:i/>
                <w:iCs/>
                <w:color w:val="64748B"/>
                <w:sz w:val="17"/>
                <w:szCs w:val="17"/>
              </w:rPr>
              <w:lastRenderedPageBreak/>
              <w:t>Onboarding, retention &amp; expansion revenue</w:t>
            </w:r>
          </w:p>
        </w:tc>
        <w:tc>
          <w:tcPr>
            <w:tcW w:w="58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A1EE4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lastRenderedPageBreak/>
              <w:t>End-to-end client onboarding post contract-signing</w:t>
            </w:r>
          </w:p>
          <w:p w14:paraId="6EF0068A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Client training, documentation and self-service enablement</w:t>
            </w:r>
          </w:p>
          <w:p w14:paraId="0937C3B0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SLA monitoring from the client perspective and escalation</w:t>
            </w:r>
          </w:p>
          <w:p w14:paraId="3B5AEB9D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Churn prevention: health scoring and early warning signals</w:t>
            </w:r>
          </w:p>
          <w:p w14:paraId="2A0DB41D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Expansion revenue: upsell and cross-sell identification</w:t>
            </w:r>
          </w:p>
          <w:p w14:paraId="6AC37A59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lastRenderedPageBreak/>
              <w:t>Voice of the customer — structured input to CTO/CPO</w:t>
            </w:r>
          </w:p>
          <w:p w14:paraId="6839A2EA" w14:textId="77777777" w:rsidR="007D6A03" w:rsidRDefault="00000000">
            <w:pPr>
              <w:pStyle w:val="Lijstalinea"/>
              <w:numPr>
                <w:ilvl w:val="0"/>
                <w:numId w:val="2"/>
              </w:numPr>
              <w:spacing w:before="18" w:after="18"/>
            </w:pPr>
            <w:r>
              <w:rPr>
                <w:sz w:val="19"/>
                <w:szCs w:val="19"/>
              </w:rPr>
              <w:t>Renewal process coordination with CRO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BCB25" w14:textId="77777777" w:rsidR="007D6A03" w:rsidRDefault="00000000">
            <w:pPr>
              <w:spacing w:before="20" w:after="20"/>
            </w:pPr>
            <w:r>
              <w:rPr>
                <w:color w:val="065F46"/>
                <w:sz w:val="19"/>
                <w:szCs w:val="19"/>
              </w:rPr>
              <w:lastRenderedPageBreak/>
              <w:t>CRO or COO covers interim; ideally first external hire alongside engineering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CFFA4" w14:textId="77777777" w:rsidR="007D6A03" w:rsidRDefault="00000000">
            <w:pPr>
              <w:spacing w:before="20" w:after="20"/>
            </w:pPr>
            <w:r>
              <w:rPr>
                <w:color w:val="92400E"/>
                <w:sz w:val="19"/>
                <w:szCs w:val="19"/>
              </w:rPr>
              <w:t>Hire as soon as first clients go live — do not treat CS as an afterthought</w:t>
            </w:r>
          </w:p>
        </w:tc>
      </w:tr>
    </w:tbl>
    <w:p w14:paraId="26B6ECDF" w14:textId="77777777" w:rsidR="007D6A03" w:rsidRDefault="00000000">
      <w:pPr>
        <w:pBdr>
          <w:top w:val="single" w:sz="2" w:space="1" w:color="CBD5E1"/>
        </w:pBdr>
        <w:spacing w:before="180" w:after="40"/>
      </w:pPr>
      <w:r>
        <w:rPr>
          <w:b/>
          <w:bCs/>
          <w:color w:val="1B3A5C"/>
          <w:sz w:val="19"/>
          <w:szCs w:val="19"/>
        </w:rPr>
        <w:t>Design principles for this role structure</w:t>
      </w:r>
    </w:p>
    <w:p w14:paraId="52A9FDDA" w14:textId="77777777" w:rsidR="007D6A03" w:rsidRDefault="00000000">
      <w:pPr>
        <w:spacing w:before="20"/>
      </w:pPr>
      <w:r>
        <w:rPr>
          <w:color w:val="64748B"/>
          <w:sz w:val="18"/>
          <w:szCs w:val="18"/>
        </w:rPr>
        <w:t>Commercial pressure (CEO/CRO) is structurally separated from client quality (Customer Success) and product integrity (CTO/CPO). Compliance is independent from day 1. Phase 1 combinations are explicitly time-limited, not permanent workarounds. Split triggers are revenue- or complexity-based, not calendar-based.</w:t>
      </w:r>
    </w:p>
    <w:sectPr w:rsidR="007D6A03">
      <w:pgSz w:w="15840" w:h="122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7742"/>
    <w:multiLevelType w:val="hybridMultilevel"/>
    <w:tmpl w:val="D6A88780"/>
    <w:lvl w:ilvl="0" w:tplc="B480098C">
      <w:start w:val="1"/>
      <w:numFmt w:val="bullet"/>
      <w:lvlText w:val="•"/>
      <w:lvlJc w:val="left"/>
      <w:pPr>
        <w:ind w:left="360" w:hanging="220"/>
      </w:pPr>
    </w:lvl>
    <w:lvl w:ilvl="1" w:tplc="A3EC17EC">
      <w:numFmt w:val="decimal"/>
      <w:lvlText w:val=""/>
      <w:lvlJc w:val="left"/>
    </w:lvl>
    <w:lvl w:ilvl="2" w:tplc="1CBCB952">
      <w:numFmt w:val="decimal"/>
      <w:lvlText w:val=""/>
      <w:lvlJc w:val="left"/>
    </w:lvl>
    <w:lvl w:ilvl="3" w:tplc="FBD49F02">
      <w:numFmt w:val="decimal"/>
      <w:lvlText w:val=""/>
      <w:lvlJc w:val="left"/>
    </w:lvl>
    <w:lvl w:ilvl="4" w:tplc="A1909A70">
      <w:numFmt w:val="decimal"/>
      <w:lvlText w:val=""/>
      <w:lvlJc w:val="left"/>
    </w:lvl>
    <w:lvl w:ilvl="5" w:tplc="45CC3338">
      <w:numFmt w:val="decimal"/>
      <w:lvlText w:val=""/>
      <w:lvlJc w:val="left"/>
    </w:lvl>
    <w:lvl w:ilvl="6" w:tplc="5D84E926">
      <w:numFmt w:val="decimal"/>
      <w:lvlText w:val=""/>
      <w:lvlJc w:val="left"/>
    </w:lvl>
    <w:lvl w:ilvl="7" w:tplc="E67E1756">
      <w:numFmt w:val="decimal"/>
      <w:lvlText w:val=""/>
      <w:lvlJc w:val="left"/>
    </w:lvl>
    <w:lvl w:ilvl="8" w:tplc="8D14C8A2">
      <w:numFmt w:val="decimal"/>
      <w:lvlText w:val=""/>
      <w:lvlJc w:val="left"/>
    </w:lvl>
  </w:abstractNum>
  <w:abstractNum w:abstractNumId="1" w15:restartNumberingAfterBreak="0">
    <w:nsid w:val="3F904163"/>
    <w:multiLevelType w:val="hybridMultilevel"/>
    <w:tmpl w:val="5A7257D2"/>
    <w:lvl w:ilvl="0" w:tplc="8160B526">
      <w:start w:val="1"/>
      <w:numFmt w:val="bullet"/>
      <w:lvlText w:val="●"/>
      <w:lvlJc w:val="left"/>
      <w:pPr>
        <w:ind w:left="720" w:hanging="360"/>
      </w:pPr>
    </w:lvl>
    <w:lvl w:ilvl="1" w:tplc="2272CA62">
      <w:start w:val="1"/>
      <w:numFmt w:val="bullet"/>
      <w:lvlText w:val="○"/>
      <w:lvlJc w:val="left"/>
      <w:pPr>
        <w:ind w:left="1440" w:hanging="360"/>
      </w:pPr>
    </w:lvl>
    <w:lvl w:ilvl="2" w:tplc="9C08879C">
      <w:start w:val="1"/>
      <w:numFmt w:val="bullet"/>
      <w:lvlText w:val="■"/>
      <w:lvlJc w:val="left"/>
      <w:pPr>
        <w:ind w:left="2160" w:hanging="360"/>
      </w:pPr>
    </w:lvl>
    <w:lvl w:ilvl="3" w:tplc="EFBCBA66">
      <w:start w:val="1"/>
      <w:numFmt w:val="bullet"/>
      <w:lvlText w:val="●"/>
      <w:lvlJc w:val="left"/>
      <w:pPr>
        <w:ind w:left="2880" w:hanging="360"/>
      </w:pPr>
    </w:lvl>
    <w:lvl w:ilvl="4" w:tplc="60D65F92">
      <w:start w:val="1"/>
      <w:numFmt w:val="bullet"/>
      <w:lvlText w:val="○"/>
      <w:lvlJc w:val="left"/>
      <w:pPr>
        <w:ind w:left="3600" w:hanging="360"/>
      </w:pPr>
    </w:lvl>
    <w:lvl w:ilvl="5" w:tplc="CE88D00E">
      <w:start w:val="1"/>
      <w:numFmt w:val="bullet"/>
      <w:lvlText w:val="■"/>
      <w:lvlJc w:val="left"/>
      <w:pPr>
        <w:ind w:left="4320" w:hanging="360"/>
      </w:pPr>
    </w:lvl>
    <w:lvl w:ilvl="6" w:tplc="48648D8A">
      <w:start w:val="1"/>
      <w:numFmt w:val="bullet"/>
      <w:lvlText w:val="●"/>
      <w:lvlJc w:val="left"/>
      <w:pPr>
        <w:ind w:left="5040" w:hanging="360"/>
      </w:pPr>
    </w:lvl>
    <w:lvl w:ilvl="7" w:tplc="8D3E2D38">
      <w:start w:val="1"/>
      <w:numFmt w:val="bullet"/>
      <w:lvlText w:val="●"/>
      <w:lvlJc w:val="left"/>
      <w:pPr>
        <w:ind w:left="5760" w:hanging="360"/>
      </w:pPr>
    </w:lvl>
    <w:lvl w:ilvl="8" w:tplc="137CE71A">
      <w:start w:val="1"/>
      <w:numFmt w:val="bullet"/>
      <w:lvlText w:val="●"/>
      <w:lvlJc w:val="left"/>
      <w:pPr>
        <w:ind w:left="6480" w:hanging="360"/>
      </w:pPr>
    </w:lvl>
  </w:abstractNum>
  <w:num w:numId="1" w16cid:durableId="876163243">
    <w:abstractNumId w:val="1"/>
    <w:lvlOverride w:ilvl="0">
      <w:startOverride w:val="1"/>
    </w:lvlOverride>
  </w:num>
  <w:num w:numId="2" w16cid:durableId="479005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03"/>
    <w:rsid w:val="00230B4B"/>
    <w:rsid w:val="007D6A03"/>
    <w:rsid w:val="00E7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B07C0"/>
  <w15:docId w15:val="{1C7E95E5-08F3-4509-A863-98AA2C1C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Olaf van Halm</cp:lastModifiedBy>
  <cp:revision>3</cp:revision>
  <dcterms:created xsi:type="dcterms:W3CDTF">2026-03-20T19:46:00Z</dcterms:created>
  <dcterms:modified xsi:type="dcterms:W3CDTF">2026-03-21T09:51:00Z</dcterms:modified>
</cp:coreProperties>
</file>