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1B2A4A"/>
          <w:sz w:val="56"/>
          <w:szCs w:val="56"/>
        </w:rPr>
        <w:t xml:space="preserve">Project Eagle</w:t>
      </w:r>
    </w:p>
    <w:p>
      <w:pPr>
        <w:spacing w:before="0" w:after="80"/>
      </w:pPr>
      <w:r>
        <w:rPr>
          <w:rFonts w:ascii="Arial" w:cs="Arial" w:eastAsia="Arial" w:hAnsi="Arial"/>
          <w:b/>
          <w:bCs/>
          <w:color w:val="2563EB"/>
          <w:sz w:val="40"/>
          <w:szCs w:val="40"/>
        </w:rPr>
        <w:t xml:space="preserve">Database Schema Overzicht</w:t>
      </w:r>
    </w:p>
    <w:p>
      <w:pPr>
        <w:spacing w:before="0" w:after="400"/>
      </w:pPr>
      <w:r>
        <w:rPr>
          <w:rFonts w:ascii="Arial" w:cs="Arial" w:eastAsia="Arial" w:hAnsi="Arial"/>
          <w:color w:val="64748B"/>
          <w:sz w:val="22"/>
          <w:szCs w:val="22"/>
        </w:rPr>
        <w:t xml:space="preserve">Tabel definities · Keys &amp; relaties · Eerste 5 velden per tabel</w:t>
      </w:r>
    </w:p>
    <w:p>
      <w:pPr>
        <w:pBdr>
          <w:top w:val="single" w:color="2563EB" w:sz="4"/>
        </w:pBdr>
        <w:spacing w:before="0" w:after="80"/>
      </w:pPr>
    </w:p>
    <w:p>
      <w:pPr>
        <w:spacing w:before="100" w:after="60"/>
      </w:pPr>
      <w:r>
        <w:rPr>
          <w:rFonts w:ascii="Arial" w:cs="Arial" w:eastAsia="Arial" w:hAnsi="Arial"/>
          <w:b/>
          <w:bCs/>
          <w:color w:val="64748B"/>
          <w:sz w:val="20"/>
          <w:szCs w:val="20"/>
        </w:rPr>
        <w:t xml:space="preserve">Versie: </w:t>
      </w:r>
      <w:r>
        <w:rPr>
          <w:rFonts w:ascii="Arial" w:cs="Arial" w:eastAsia="Arial" w:hAnsi="Arial"/>
          <w:color w:val="64748B"/>
          <w:sz w:val="20"/>
          <w:szCs w:val="20"/>
        </w:rPr>
        <w:t xml:space="preserve">1.0 baseline</w:t>
      </w:r>
    </w:p>
    <w:p>
      <w:pPr>
        <w:spacing w:before="40" w:after="60"/>
      </w:pPr>
      <w:r>
        <w:rPr>
          <w:rFonts w:ascii="Arial" w:cs="Arial" w:eastAsia="Arial" w:hAnsi="Arial"/>
          <w:b/>
          <w:bCs/>
          <w:color w:val="64748B"/>
          <w:sz w:val="20"/>
          <w:szCs w:val="20"/>
        </w:rPr>
        <w:t xml:space="preserve">Datum: </w:t>
      </w:r>
      <w:r>
        <w:rPr>
          <w:rFonts w:ascii="Arial" w:cs="Arial" w:eastAsia="Arial" w:hAnsi="Arial"/>
          <w:color w:val="64748B"/>
          <w:sz w:val="20"/>
          <w:szCs w:val="20"/>
        </w:rPr>
        <w:t xml:space="preserve">2026-03-23</w:t>
      </w:r>
    </w:p>
    <w:p>
      <w:pPr>
        <w:spacing w:before="40" w:after="60"/>
      </w:pPr>
      <w:r>
        <w:rPr>
          <w:rFonts w:ascii="Arial" w:cs="Arial" w:eastAsia="Arial" w:hAnsi="Arial"/>
          <w:b/>
          <w:bCs/>
          <w:color w:val="64748B"/>
          <w:sz w:val="20"/>
          <w:szCs w:val="20"/>
        </w:rPr>
        <w:t xml:space="preserve">Eigenaar: </w:t>
      </w:r>
      <w:r>
        <w:rPr>
          <w:rFonts w:ascii="Arial" w:cs="Arial" w:eastAsia="Arial" w:hAnsi="Arial"/>
          <w:color w:val="64748B"/>
          <w:sz w:val="20"/>
          <w:szCs w:val="20"/>
        </w:rPr>
        <w:t xml:space="preserve">CTO / CPO — Project Eagle</w:t>
      </w:r>
    </w:p>
    <w:p>
      <w:pPr>
        <w:spacing w:before="40" w:after="60"/>
      </w:pPr>
      <w:r>
        <w:rPr>
          <w:rFonts w:ascii="Arial" w:cs="Arial" w:eastAsia="Arial" w:hAnsi="Arial"/>
          <w:b/>
          <w:bCs/>
          <w:color w:val="64748B"/>
          <w:sz w:val="20"/>
          <w:szCs w:val="20"/>
        </w:rPr>
        <w:t xml:space="preserve">Status: </w:t>
      </w:r>
      <w:r>
        <w:rPr>
          <w:rFonts w:ascii="Arial" w:cs="Arial" w:eastAsia="Arial" w:hAnsi="Arial"/>
          <w:color w:val="64748B"/>
          <w:sz w:val="20"/>
          <w:szCs w:val="20"/>
        </w:rPr>
        <w:t xml:space="preserve">Concept — velden worden later volledig uitgewerkt</w:t>
      </w:r>
    </w:p>
    <w:p>
      <w:pPr>
        <w:spacing w:before="1800"/>
      </w:pPr>
      <w:r>
        <w:br w:type="page"/>
      </w:r>
    </w:p>
    <w:p>
      <w:pPr>
        <w:pStyle w:val="Heading1"/>
        <w:spacing w:before="320" w:after="160"/>
      </w:pPr>
      <w:r>
        <w:rPr>
          <w:rFonts w:ascii="Arial" w:cs="Arial" w:eastAsia="Arial" w:hAnsi="Arial"/>
          <w:b/>
          <w:bCs/>
          <w:color w:val="1B2A4A"/>
          <w:sz w:val="32"/>
          <w:szCs w:val="32"/>
        </w:rPr>
        <w:t xml:space="preserve">1. Algemene toelichting</w:t>
      </w:r>
    </w:p>
    <w:p>
      <w:pPr>
        <w:spacing w:before="100" w:after="100"/>
      </w:pPr>
      <w:r>
        <w:rPr>
          <w:rFonts w:ascii="Arial" w:cs="Arial" w:eastAsia="Arial" w:hAnsi="Arial"/>
          <w:color w:val="1e293b"/>
          <w:sz w:val="20"/>
          <w:szCs w:val="20"/>
        </w:rPr>
        <w:t xml:space="preserve">Dit document beschrijft de database-architectuur van Project Eagle, een AI-native AIFMD Annex IV rapportage-engine voor Alternative Investment Fund Managers (AIFMs). Het schema is afgeleid uit de baselined company requirements (v1.0, 2026-03-23) en volgt het "database-first" principe: alle operationele toestand, scores en rapporten zijn first-class databaserecords. Bestandsexports (PDF, CSV, XML) zijn gegenereerde views van databasedata, nooit het systeem of record.</w:t>
      </w:r>
    </w:p>
    <w:p>
      <w:pPr>
        <w:spacing w:before="100" w:after="100"/>
      </w:pPr>
      <w:r>
        <w:rPr>
          <w:rFonts w:ascii="Arial" w:cs="Arial" w:eastAsia="Arial" w:hAnsi="Arial"/>
          <w:color w:val="1e293b"/>
          <w:sz w:val="20"/>
          <w:szCs w:val="20"/>
        </w:rPr>
        <w:t xml:space="preserve">Het schema is opgebouwd rond twaalf functionele domeinen die overeenkomen met de tien applicatiemodules van Eagle. De centrale as van de compliance-pipeline loopt via: aifm_entities → nca_registrations → reporting_obligations → canonical_records → review_gates → submissions. Alle andere tabellen ondersteunen of verrijken deze hoofdstroom.</w:t>
      </w:r>
    </w:p>
    <w:p>
      <w:pPr>
        <w:spacing w:before="100" w:after="100"/>
      </w:pPr>
      <w:r>
        <w:rPr>
          <w:rFonts w:ascii="Arial" w:cs="Arial" w:eastAsia="Arial" w:hAnsi="Arial"/>
          <w:color w:val="1e293b"/>
          <w:sz w:val="20"/>
          <w:szCs w:val="20"/>
        </w:rPr>
        <w:t xml:space="preserve">De velddefinities in dit document zijn indicatief (eerste 5 velden per tabel). De volledige uitwerking van alle velden per tabel volgt in een aparte specificatiefase. Primary keys (PK) zijn overal UUID of serial integers. Foreign keys (FK) zijn in de tabellen gemarkeerd.</w:t>
      </w:r>
    </w:p>
    <w:p>
      <w:pPr>
        <w:spacing w:before="120" w:after="0"/>
      </w:pPr>
    </w:p>
    <w:p>
      <w:pPr>
        <w:pStyle w:val="Heading2"/>
        <w:spacing w:before="200" w:after="120"/>
      </w:pPr>
      <w:r>
        <w:rPr>
          <w:rFonts w:ascii="Arial" w:cs="Arial" w:eastAsia="Arial" w:hAnsi="Arial"/>
          <w:b/>
          <w:bCs/>
          <w:color w:val="1B2A4A"/>
          <w:sz w:val="26"/>
          <w:szCs w:val="26"/>
        </w:rPr>
        <w:t xml:space="preserve">1.1 Domeinoverzicht</w:t>
      </w:r>
    </w:p>
    <w:p>
      <w:pPr>
        <w:spacing w:before="60" w:after="120"/>
      </w:pPr>
      <w:r>
        <w:rPr>
          <w:rFonts w:ascii="Arial" w:cs="Arial" w:eastAsia="Arial" w:hAnsi="Arial"/>
          <w:sz w:val="20"/>
          <w:szCs w:val="20"/>
        </w:rPr>
        <w:t xml:space="preserve">Het schema is opgedeeld in twaalf domeinen. Elk domein komt overeen met een afgebakend functioneel gebied van de applicatie.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Domein</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Tabellen</w:t>
            </w:r>
          </w:p>
        </w:tc>
        <w:tc>
          <w:tcPr>
            <w:tcW w:type="dxa" w:w="56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Beschrijving</w:t>
            </w:r>
          </w:p>
        </w:tc>
      </w:tr>
      <w:tr>
        <w:tc>
          <w:tcPr>
            <w:tcW w:type="dxa" w:w="20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Identity &amp; Access</w:t>
            </w:r>
          </w:p>
        </w:tc>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5</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Tenant-beheer, AIFM-entiteiten, gebruikers, rollen en toegangstoewijzingen.</w:t>
            </w:r>
          </w:p>
        </w:tc>
      </w:tr>
      <w:tr>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Fund &amp; NCA Config</w:t>
            </w:r>
          </w:p>
        </w:tc>
        <w:tc>
          <w:tcPr>
            <w:tcW w:type="dxa" w:w="14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5</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AIF-profielen, NCA-registraties, credential vault en NCA override-profielen.</w:t>
            </w:r>
          </w:p>
        </w:tc>
      </w:tr>
      <w:tr>
        <w:tc>
          <w:tcPr>
            <w:tcW w:type="dxa" w:w="2000"/>
            <w:tcBorders>
              <w:top w:val="single" w:color="CBD5E1" w:sz="1"/>
              <w:left w:val="single" w:color="CBD5E1" w:sz="1"/>
              <w:bottom w:val="single" w:color="CBD5E1" w:sz="1"/>
              <w:right w:val="single" w:color="CBD5E1" w:sz="1"/>
            </w:tcBorders>
            <w:shd w:fill="CFFAFE"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Reporting Obligations</w:t>
            </w:r>
          </w:p>
        </w:tc>
        <w:tc>
          <w:tcPr>
            <w:tcW w:type="dxa" w:w="1400"/>
            <w:tcBorders>
              <w:top w:val="single" w:color="CBD5E1" w:sz="1"/>
              <w:left w:val="single" w:color="CBD5E1" w:sz="1"/>
              <w:bottom w:val="single" w:color="CBD5E1" w:sz="1"/>
              <w:right w:val="single" w:color="CBD5E1" w:sz="1"/>
            </w:tcBorders>
            <w:shd w:fill="CFFAFE"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2</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Gegenereerde rapportageperiodes en concrete rapportageverplichtingen per NCA.</w:t>
            </w:r>
          </w:p>
        </w:tc>
      </w:tr>
      <w:tr>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Data Ingestion</w:t>
            </w:r>
          </w:p>
        </w:tc>
        <w:tc>
          <w:tcPr>
            <w:tcW w:type="dxa" w:w="14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3</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Ingestion-jobs (5 kanalen), positie-data en veld-provenance geschiedenis.</w:t>
            </w:r>
          </w:p>
        </w:tc>
      </w:tr>
      <w:tr>
        <w:tc>
          <w:tcPr>
            <w:tcW w:type="dxa" w:w="20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Canonical Data</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2</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Het canonieke Annex IV record en AIFM-aggregatierecords (single source of truth).</w:t>
            </w:r>
          </w:p>
        </w:tc>
      </w:tr>
      <w:tr>
        <w:tc>
          <w:tcPr>
            <w:tcW w:type="dxa" w:w="20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Validatie</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2</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Deterministische validatieruns (L3) en per-veld validatieresultaten (CAF/CAM/DQ).</w:t>
            </w:r>
          </w:p>
        </w:tc>
      </w:tr>
      <w:tr>
        <w:tc>
          <w:tcPr>
            <w:tcW w:type="dxa" w:w="2000"/>
            <w:tcBorders>
              <w:top w:val="single" w:color="CBD5E1" w:sz="1"/>
              <w:left w:val="single" w:color="CBD5E1" w:sz="1"/>
              <w:bottom w:val="single" w:color="CBD5E1" w:sz="1"/>
              <w:right w:val="single" w:color="CBD5E1" w:sz="1"/>
            </w:tcBorders>
            <w:shd w:fill="FFEDD5"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Review &amp; Approval</w:t>
            </w:r>
          </w:p>
        </w:tc>
        <w:tc>
          <w:tcPr>
            <w:tcW w:type="dxa" w:w="1400"/>
            <w:tcBorders>
              <w:top w:val="single" w:color="CBD5E1" w:sz="1"/>
              <w:left w:val="single" w:color="CBD5E1" w:sz="1"/>
              <w:bottom w:val="single" w:color="CBD5E1" w:sz="1"/>
              <w:right w:val="single" w:color="CBD5E1" w:sz="1"/>
            </w:tcBorders>
            <w:shd w:fill="FFEDD5"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2</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Verplichte review gates (L5, non-bypassable) en individuele goedkeuringsbeslissingen.</w:t>
            </w:r>
          </w:p>
        </w:tc>
      </w:tr>
      <w:tr>
        <w:tc>
          <w:tcPr>
            <w:tcW w:type="dxa" w:w="2000"/>
            <w:tcBorders>
              <w:top w:val="single" w:color="CBD5E1" w:sz="1"/>
              <w:left w:val="single" w:color="CBD5E1" w:sz="1"/>
              <w:bottom w:val="single" w:color="CBD5E1" w:sz="1"/>
              <w:right w:val="single" w:color="CBD5E1" w:sz="1"/>
            </w:tcBorders>
            <w:shd w:fill="E0E7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Submission &amp; Delivery</w:t>
            </w:r>
          </w:p>
        </w:tc>
        <w:tc>
          <w:tcPr>
            <w:tcW w:type="dxa" w:w="1400"/>
            <w:tcBorders>
              <w:top w:val="single" w:color="CBD5E1" w:sz="1"/>
              <w:left w:val="single" w:color="CBD5E1" w:sz="1"/>
              <w:bottom w:val="single" w:color="CBD5E1" w:sz="1"/>
              <w:right w:val="single" w:color="CBD5E1" w:sz="1"/>
            </w:tcBorders>
            <w:shd w:fill="E0E7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3</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Submission records, NCA-pakketten en ontvangstbevestigingen (6 leveringskanalen).</w:t>
            </w:r>
          </w:p>
        </w:tc>
      </w:tr>
      <w:tr>
        <w:tc>
          <w:tcPr>
            <w:tcW w:type="dxa" w:w="2000"/>
            <w:tcBorders>
              <w:top w:val="single" w:color="CBD5E1" w:sz="1"/>
              <w:left w:val="single" w:color="CBD5E1" w:sz="1"/>
              <w:bottom w:val="single" w:color="CBD5E1" w:sz="1"/>
              <w:right w:val="single" w:color="CBD5E1" w:sz="1"/>
            </w:tcBorders>
            <w:shd w:fill="ECFCCB"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Reference Data</w:t>
            </w:r>
          </w:p>
        </w:tc>
        <w:tc>
          <w:tcPr>
            <w:tcW w:type="dxa" w:w="1400"/>
            <w:tcBorders>
              <w:top w:val="single" w:color="CBD5E1" w:sz="1"/>
              <w:left w:val="single" w:color="CBD5E1" w:sz="1"/>
              <w:bottom w:val="single" w:color="CBD5E1" w:sz="1"/>
              <w:right w:val="single" w:color="CBD5E1" w:sz="1"/>
            </w:tcBorders>
            <w:shd w:fill="ECFCCB"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2</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ECB wisselkoersen-cache en GLEIF LEI-register cache.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Audit Trail</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1</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Immutable append-only event log over alle pipeline-lagen. 10 jaar retentie.</w:t>
            </w:r>
          </w:p>
        </w:tc>
      </w:tr>
      <w:tr>
        <w:tc>
          <w:tcPr>
            <w:tcW w:type="dxa" w:w="2000"/>
            <w:tcBorders>
              <w:top w:val="single" w:color="CBD5E1" w:sz="1"/>
              <w:left w:val="single" w:color="CBD5E1" w:sz="1"/>
              <w:bottom w:val="single" w:color="CBD5E1" w:sz="1"/>
              <w:right w:val="single" w:color="CBD5E1" w:sz="1"/>
            </w:tcBorders>
            <w:shd w:fill="FCE7F3"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GTM &amp; Trial</w:t>
            </w:r>
          </w:p>
        </w:tc>
        <w:tc>
          <w:tcPr>
            <w:tcW w:type="dxa" w:w="1400"/>
            <w:tcBorders>
              <w:top w:val="single" w:color="CBD5E1" w:sz="1"/>
              <w:left w:val="single" w:color="CBD5E1" w:sz="1"/>
              <w:bottom w:val="single" w:color="CBD5E1" w:sz="1"/>
              <w:right w:val="single" w:color="CBD5E1" w:sz="1"/>
            </w:tcBorders>
            <w:shd w:fill="FCE7F3"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2</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AIFM-prospect database, legitimiteitsscoring en trial account lifecycle.</w:t>
            </w:r>
          </w:p>
        </w:tc>
      </w:tr>
      <w:tr>
        <w:tc>
          <w:tcPr>
            <w:tcW w:type="dxa" w:w="2000"/>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Billing (Phase 1.5)</w:t>
            </w:r>
          </w:p>
        </w:tc>
        <w:tc>
          <w:tcPr>
            <w:tcW w:type="dxa" w:w="1400"/>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2</w:t>
            </w:r>
          </w:p>
        </w:tc>
        <w:tc>
          <w:tcPr>
            <w:tcW w:type="dxa" w:w="5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Abonnementen en facturatieregels. Fase 1.5 – strikt geïsoleerd van compliance.</w:t>
            </w:r>
          </w:p>
        </w:tc>
      </w:tr>
    </w:tbl>
    <w:p>
      <w:pPr>
        <w:spacing w:before="200" w:after="0"/>
      </w:pPr>
    </w:p>
    <w:p>
      <w:pPr>
        <w:pStyle w:val="Heading2"/>
        <w:spacing w:before="200" w:after="120"/>
      </w:pPr>
      <w:r>
        <w:rPr>
          <w:rFonts w:ascii="Arial" w:cs="Arial" w:eastAsia="Arial" w:hAnsi="Arial"/>
          <w:b/>
          <w:bCs/>
          <w:color w:val="1B2A4A"/>
          <w:sz w:val="26"/>
          <w:szCs w:val="26"/>
        </w:rPr>
        <w:t xml:space="preserve">1.2 Ontwerpprincipes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Principe</w:t>
            </w:r>
          </w:p>
        </w:tc>
        <w:tc>
          <w:tcPr>
            <w:tcW w:type="dxa" w:w="64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Database-first (P14)</w:t>
            </w:r>
          </w:p>
        </w:tc>
        <w:tc>
          <w:tcPr>
            <w:tcW w:type="dxa" w:w="6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Alle operationele toestand, metrics en rapporten zijn opgeslagen als first-class databaserecords. Bestandsexports zijn views, nooit het systeem van record.</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Single source of truth (P4)</w:t>
            </w:r>
          </w:p>
        </w:tc>
        <w:tc>
          <w:tcPr>
            <w:tcW w:type="dxa" w:w="6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Het canonieke datamodel is de enige bron voor alle downstream verwerking. XSD-serialisatie voor NCA-indiening is een transformatie van het canonieke record, nooit andersom.</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Deterministische kern (P5)</w:t>
            </w:r>
          </w:p>
        </w:tc>
        <w:tc>
          <w:tcPr>
            <w:tcW w:type="dxa" w:w="6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Validatie (L3) en berekeningen zijn volledig deterministisch en versiebeheerd. Dezelfde input levert altijd dezelfde output. Geen AI-betrokkenheid in de compliance-kern.</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Volledige auditbaarheid (P8)</w:t>
            </w:r>
          </w:p>
        </w:tc>
        <w:tc>
          <w:tcPr>
            <w:tcW w:type="dxa" w:w="6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Elk veld in elk canonical record heeft een provenance-record. De audit trail is immutable en append-only. Retentie: 10 jaar voor compliance-data.</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Multi-tenancy met isolatie (P9)</w:t>
            </w:r>
          </w:p>
        </w:tc>
        <w:tc>
          <w:tcPr>
            <w:tcW w:type="dxa" w:w="6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Row-level security op databaseniveau. Data van de ene tenant is architectureel onbereikbaar voor een andere tenant, ook in foutscenario's en achtergrondtaken.</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Platform-first (P15)</w:t>
            </w:r>
          </w:p>
        </w:tc>
        <w:tc>
          <w:tcPr>
            <w:tcW w:type="dxa" w:w="64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Platformtabellen (IAM, audit, orkestratie) zijn product-agnostisch. AIFMD-specifieke logica is geïsoleerd in productmodules en kan worden vervangen zonder platformwijzigingen.</w:t>
            </w:r>
          </w:p>
        </w:tc>
      </w:tr>
    </w:tbl>
    <w:p>
      <w:pPr>
        <w:spacing w:before="400"/>
      </w:pPr>
      <w:r>
        <w:br w:type="page"/>
      </w:r>
    </w:p>
    <w:p>
      <w:pPr>
        <w:pStyle w:val="Heading1"/>
        <w:spacing w:before="0" w:after="160"/>
      </w:pPr>
      <w:r>
        <w:rPr>
          <w:rFonts w:ascii="Arial" w:cs="Arial" w:eastAsia="Arial" w:hAnsi="Arial"/>
          <w:b/>
          <w:bCs/>
          <w:color w:val="1B2A4A"/>
          <w:sz w:val="32"/>
          <w:szCs w:val="32"/>
        </w:rPr>
        <w:t xml:space="preserve">2. Tabellen per domein</w:t>
      </w:r>
    </w:p>
    <w:p>
      <w:pPr>
        <w:pStyle w:val="Heading2"/>
        <w:spacing w:before="280" w:after="120"/>
      </w:pPr>
      <w:r>
        <w:rPr>
          <w:rFonts w:ascii="Arial" w:cs="Arial" w:eastAsia="Arial" w:hAnsi="Arial"/>
          <w:b/>
          <w:bCs/>
          <w:color w:val="1B2A4A"/>
          <w:sz w:val="26"/>
          <w:szCs w:val="26"/>
        </w:rPr>
        <w:t xml:space="preserve">2.1  Identity &amp; Access</w:t>
      </w:r>
    </w:p>
    <w:p>
      <w:pPr>
        <w:pStyle w:val="Heading3"/>
        <w:spacing w:before="200" w:after="80"/>
      </w:pPr>
      <w:r>
        <w:rPr>
          <w:rFonts w:ascii="Courier New" w:cs="Courier New" w:eastAsia="Courier New" w:hAnsi="Courier New"/>
          <w:b/>
          <w:bCs/>
          <w:color w:val="2563EB"/>
          <w:sz w:val="22"/>
          <w:szCs w:val="22"/>
        </w:rPr>
        <w:t xml:space="preserve">tenants</w:t>
      </w:r>
      <w:r>
        <w:t xml:space="preserve"/>
      </w:r>
    </w:p>
    <w:p>
      <w:pPr>
        <w:spacing w:before="40" w:after="100"/>
      </w:pPr>
      <w:r>
        <w:rPr>
          <w:rFonts w:ascii="Arial" w:cs="Arial" w:eastAsia="Arial" w:hAnsi="Arial"/>
          <w:color w:val="334155"/>
          <w:sz w:val="19"/>
          <w:szCs w:val="19"/>
        </w:rPr>
        <w:t xml:space="preserve">Hoofd-tenant record. Vertegenwoordigt een directe AIFM of een service provider die meerdere onderliggende AIFMs beheert. Single source of truth voor de tenant status, het type en de lifecycle metadata. Twee typen: ACTIVE_TENANT (betaalde klant, aangemaakt door CS Manager) en TRIAL_TENANT (zelfservice trial). Een tenant kan niet zonder CS Manager actie overgaan van TRIAL naar ACTIVE.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tenant_id</w:t>
            </w:r>
          </w:p>
        </w:tc>
        <w:tc>
          <w:tcPr>
            <w:tcW w:type="dxa" w:w="7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tenant_name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tenant_type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ACTIVE | TRIAL</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ACTIVE_TENANT = betaalde klant; TRIAL_TENANT = proefaccount.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status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ACTIVE | SUSPENDED</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service_provider_flag</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bool</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created_at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aifm_entities</w:t>
      </w:r>
      <w:r>
        <w:t xml:space="preserve"/>
      </w:r>
    </w:p>
    <w:p>
      <w:pPr>
        <w:spacing w:before="40" w:after="100"/>
      </w:pPr>
      <w:r>
        <w:rPr>
          <w:rFonts w:ascii="Arial" w:cs="Arial" w:eastAsia="Arial" w:hAnsi="Arial"/>
          <w:color w:val="334155"/>
          <w:sz w:val="19"/>
          <w:szCs w:val="19"/>
        </w:rPr>
        <w:t xml:space="preserve">Een AIFM-entiteit (Alternative Investment Fund Manager). Onder een service provider tenant zijn dit aparte sub-entiteiten met volledig geïsoleerde data en eigen NCA-identifiers. Per AIFM-entiteit wordt ook een DORA-register export entry gegenereerd. Een AIFM heeft altijd minstens één NCA-registratie en een gevalideerde LEI uit het GLEIF-register. Het LEI wordt jaarlijks hergevalideerd.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aifm_id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tenant_id → tenants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legal_name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lei</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char(20)</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ISO 17442 — 20 tekens. Gevalideerd tegen GLEIF-register bij aanmaken.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jurisdiction</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ISO 3166-1 α-2</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reporting_regime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ART3 | ART24</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ART3 = sub-drempelwaarde; ART24 = volledige rapportageplicht.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aifmd_auth_date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date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users</w:t>
      </w:r>
      <w:r>
        <w:t xml:space="preserve"/>
      </w:r>
    </w:p>
    <w:p>
      <w:pPr>
        <w:spacing w:before="40" w:after="100"/>
      </w:pPr>
      <w:r>
        <w:rPr>
          <w:rFonts w:ascii="Arial" w:cs="Arial" w:eastAsia="Arial" w:hAnsi="Arial"/>
          <w:color w:val="334155"/>
          <w:sz w:val="19"/>
          <w:szCs w:val="19"/>
        </w:rPr>
        <w:t xml:space="preserve">Applicatiegebruikers. Een gebruiker kan meerdere rollen hebben binnen één of meerdere AIFM-entiteiten via de user_role_assignments koppeltabel. In de audit trail wordt een gebruiker opgeslagen als pseudoniem user_id conform GDPR-vereisten. Gebruikers worden aangemaakt door EAGLE_ADMIN of TENANT_ADMIN; zelfregistratie is niet mogelijk voor betaalde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user_id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tenant_id → tenants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email</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full_name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status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ACTIVE | SUSPENDED</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last_login_at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created_at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roles</w:t>
      </w:r>
      <w:r>
        <w:t xml:space="preserve"/>
      </w:r>
    </w:p>
    <w:p>
      <w:pPr>
        <w:spacing w:before="40" w:after="100"/>
      </w:pPr>
      <w:r>
        <w:rPr>
          <w:rFonts w:ascii="Arial" w:cs="Arial" w:eastAsia="Arial" w:hAnsi="Arial"/>
          <w:color w:val="334155"/>
          <w:sz w:val="19"/>
          <w:szCs w:val="19"/>
        </w:rPr>
        <w:t xml:space="preserve">Statische definitietabel voor de zes systeemrollen: EAGLE_ADMIN (Eagle operationeel), TENANT_ADMIN (klant beheer), COMPLIANCE_REVIEWER (review &amp; goedkeuring), DATA_PREPARER (data invoer), READ_ONLY (inzage) en TRIAL_USER (proefaccount). Rollen worden toegewezen via user_role_assignments. Wijzigingen in roldefinities gaan via release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role_id</w:t>
            </w:r>
          </w:p>
        </w:tc>
        <w:tc>
          <w:tcPr>
            <w:tcW w:type="dxa" w:w="7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role_name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description</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is_system_role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bool</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permission_level</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int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created_at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user_role_assignments</w:t>
      </w:r>
      <w:r>
        <w:t xml:space="preserve"/>
      </w:r>
    </w:p>
    <w:p>
      <w:pPr>
        <w:spacing w:before="40" w:after="100"/>
      </w:pPr>
      <w:r>
        <w:rPr>
          <w:rFonts w:ascii="Arial" w:cs="Arial" w:eastAsia="Arial" w:hAnsi="Arial"/>
          <w:color w:val="334155"/>
          <w:sz w:val="19"/>
          <w:szCs w:val="19"/>
        </w:rPr>
        <w:t xml:space="preserve">Koppeltabel die een gebruiker aan een rol koppelt binnen de scope van een specifieke AIFM-entiteit. Een gebruiker kan DATA_PREPARER zijn voor AIFM-A en READ_ONLY voor AIFM-B. Elke toewijzing heeft een geldigheidsperiode en een registratie van wie de toewijzing heeft aangemaakt. Wijzigingen worden gelogd in de audit trail.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assignment_id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user_id → users  |  aifm_id → aifm_entities  |  role_id → roles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granted_at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granted_by_user_id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uuid ref</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valid_from</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date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valid_until</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date nullable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is_active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bool</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2"/>
        <w:spacing w:before="280" w:after="120"/>
      </w:pPr>
      <w:r>
        <w:rPr>
          <w:rFonts w:ascii="Arial" w:cs="Arial" w:eastAsia="Arial" w:hAnsi="Arial"/>
          <w:b/>
          <w:bCs/>
          <w:color w:val="1B2A4A"/>
          <w:sz w:val="26"/>
          <w:szCs w:val="26"/>
        </w:rPr>
        <w:t xml:space="preserve">2.2  Fund &amp; NCA Config</w:t>
      </w:r>
    </w:p>
    <w:p>
      <w:pPr>
        <w:pStyle w:val="Heading3"/>
        <w:spacing w:before="200" w:after="80"/>
      </w:pPr>
      <w:r>
        <w:rPr>
          <w:rFonts w:ascii="Courier New" w:cs="Courier New" w:eastAsia="Courier New" w:hAnsi="Courier New"/>
          <w:b/>
          <w:bCs/>
          <w:color w:val="2563EB"/>
          <w:sz w:val="22"/>
          <w:szCs w:val="22"/>
        </w:rPr>
        <w:t xml:space="preserve">aif_profiles</w:t>
      </w:r>
      <w:r>
        <w:t xml:space="preserve"/>
      </w:r>
    </w:p>
    <w:p>
      <w:pPr>
        <w:spacing w:before="40" w:after="100"/>
      </w:pPr>
      <w:r>
        <w:rPr>
          <w:rFonts w:ascii="Arial" w:cs="Arial" w:eastAsia="Arial" w:hAnsi="Arial"/>
          <w:color w:val="334155"/>
          <w:sz w:val="19"/>
          <w:szCs w:val="19"/>
        </w:rPr>
        <w:t xml:space="preserve">Profiel van een individueel Alternative Investment Fund (AIF). Bevat de juridische naam, LEI, basisvaluta, domicile en juridische structuur (open-end of closed-end). Dit is de authoritative source voor alle AIF-rapportage. Een AIF wordt aan één of meerdere NCA-registraties gekoppeld via de aif_nca_links tabel.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aif_id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aifm_id → aifm_entities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legal_name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lei</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char(20)</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ISO 17442 — 20 tekens. Gevalideerd tegen GLEIF-register bij aanmaken.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base_currency</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ISO 4217</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domicile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ISO 3166-1 α-2</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aif_type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OPEN | CLOSED</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nca_registrations</w:t>
      </w:r>
      <w:r>
        <w:t xml:space="preserve"/>
      </w:r>
    </w:p>
    <w:p>
      <w:pPr>
        <w:spacing w:before="40" w:after="100"/>
      </w:pPr>
      <w:r>
        <w:rPr>
          <w:rFonts w:ascii="Arial" w:cs="Arial" w:eastAsia="Arial" w:hAnsi="Arial"/>
          <w:color w:val="334155"/>
          <w:sz w:val="19"/>
          <w:szCs w:val="19"/>
        </w:rPr>
        <w:t xml:space="preserve">Eén NCA-registratie per AIFM. Elke registratie is volledig onafhankelijk configureerbaar: eigen rapportageregime (ART3/ART24), frequentie (kwartaal/half jaar/jaar), leveringskanaal, NCA-specifiek override-profiel en een eigen deadline-kalender. Een AIFM kan tot 27 gelijktijdige NCA-registraties hebben. Registratiewijzigingen vereisen TENANT_ADMIN autorisatie en worden gelogd.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registration_id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aifm_id → aifm_entities  |  override_profile_id → nca_override_profiles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nca_code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 (AFM/CSSF/…)</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nca_aifm_national_code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reporting_regime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ART3 | ART24</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ART3 = sub-drempelwaarde; ART24 = volledige rapportageplicht.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reporting_frequency</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Q | H | Y</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Q = kwartaal; H = halfjaar; Y = jaarlijks. Onafhankelijk per NCA.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delivery_channel</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enum (6 kanalen)</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6 kanalen: DIRECT_API, ROBOT_PORTAL, S3_CLIENT_BUCKET, S3_EAGLE_BUCKET, SFTP_EAGLE_SERVER, MANUAL.</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nca_credential_vault</w:t>
      </w:r>
      <w:r>
        <w:t xml:space="preserve"/>
      </w:r>
    </w:p>
    <w:p>
      <w:pPr>
        <w:spacing w:before="40" w:after="100"/>
      </w:pPr>
      <w:r>
        <w:rPr>
          <w:rFonts w:ascii="Arial" w:cs="Arial" w:eastAsia="Arial" w:hAnsi="Arial"/>
          <w:color w:val="334155"/>
          <w:sz w:val="19"/>
          <w:szCs w:val="19"/>
        </w:rPr>
        <w:t xml:space="preserve">Versleutelde credential store per NCA-registratie. Bevat portaalcredentials voor robot-indiening (ROBOT_PORTAL), S3 IAM role ARNs voor cloud-aflevering en SFTP-sleutels. Credentials worden nooit gelogd en worden alleen opgehaald tijdens de actieve robot-sessie. Na de sessie worden ze direct uit het geheugen verwijderd.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credential_id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registration_id → nca_registrations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channel_type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enum (6)</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credential_type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PORTAL | S3 | SFTP</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encrypted_payload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bytea</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last_rotated_at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created_by_user_id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uuid ref</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nca_override_profiles</w:t>
      </w:r>
      <w:r>
        <w:t xml:space="preserve"/>
      </w:r>
    </w:p>
    <w:p>
      <w:pPr>
        <w:spacing w:before="40" w:after="100"/>
      </w:pPr>
      <w:r>
        <w:rPr>
          <w:rFonts w:ascii="Arial" w:cs="Arial" w:eastAsia="Arial" w:hAnsi="Arial"/>
          <w:color w:val="334155"/>
          <w:sz w:val="19"/>
          <w:szCs w:val="19"/>
        </w:rPr>
        <w:t xml:space="preserve">NCA-specifieke overrides op de standaard AIFMD-validatieregels. Geladen vanuit YAML-configuratiebestanden bij runtime. Bevat ook de packaging-dimensies (XML-structuur, compressie, bestandsnaampatroon) en serialisatieprofielen per NCA. Een nieuwe NCA toevoegen vereist alleen een nieuw configuratiebestand, geen codewijziging.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profile_id</w:t>
            </w:r>
          </w:p>
        </w:tc>
        <w:tc>
          <w:tcPr>
            <w:tcW w:type="dxa" w:w="7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nca_code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profile_version</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semver</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xml_structure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single | multi</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compression</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none/zip/gzip/…</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file_naming_template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aif_nca_links</w:t>
      </w:r>
      <w:r>
        <w:t xml:space="preserve"/>
      </w:r>
    </w:p>
    <w:p>
      <w:pPr>
        <w:spacing w:before="40" w:after="100"/>
      </w:pPr>
      <w:r>
        <w:rPr>
          <w:rFonts w:ascii="Arial" w:cs="Arial" w:eastAsia="Arial" w:hAnsi="Arial"/>
          <w:color w:val="334155"/>
          <w:sz w:val="19"/>
          <w:szCs w:val="19"/>
        </w:rPr>
        <w:t xml:space="preserve">Koppelt een AIF aan de NCA-registraties waarvoor het fonds gerapporteerd moet worden. De trigger voor rapportageplicht zijn de marketing-jurisdicties van het fonds (conform AIFMD). Per koppeling wordt de NCA-specifieke AIF nationale code opgeslagen. Een koppeling heeft een geldigheidsperiode met een begin- en einddatum.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link_id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aif_id → aif_profiles  |  registration_id → nca_registrations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aif_national_code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marketing_jurisdiction</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ISO 3166-1 α-2</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effective_from</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date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effective_until</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date nullable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is_active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bool</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2"/>
        <w:spacing w:before="280" w:after="120"/>
      </w:pPr>
      <w:r>
        <w:rPr>
          <w:rFonts w:ascii="Arial" w:cs="Arial" w:eastAsia="Arial" w:hAnsi="Arial"/>
          <w:b/>
          <w:bCs/>
          <w:color w:val="1B2A4A"/>
          <w:sz w:val="26"/>
          <w:szCs w:val="26"/>
        </w:rPr>
        <w:t xml:space="preserve">2.3  Reporting Obligations</w:t>
      </w:r>
    </w:p>
    <w:p>
      <w:pPr>
        <w:pStyle w:val="Heading3"/>
        <w:spacing w:before="200" w:after="80"/>
      </w:pPr>
      <w:r>
        <w:rPr>
          <w:rFonts w:ascii="Courier New" w:cs="Courier New" w:eastAsia="Courier New" w:hAnsi="Courier New"/>
          <w:b/>
          <w:bCs/>
          <w:color w:val="2563EB"/>
          <w:sz w:val="22"/>
          <w:szCs w:val="22"/>
        </w:rPr>
        <w:t xml:space="preserve">reporting_obligations</w:t>
      </w:r>
      <w:r>
        <w:t xml:space="preserve"/>
      </w:r>
    </w:p>
    <w:p>
      <w:pPr>
        <w:spacing w:before="40" w:after="100"/>
      </w:pPr>
      <w:r>
        <w:rPr>
          <w:rFonts w:ascii="Arial" w:cs="Arial" w:eastAsia="Arial" w:hAnsi="Arial"/>
          <w:color w:val="334155"/>
          <w:sz w:val="19"/>
          <w:szCs w:val="19"/>
        </w:rPr>
        <w:t xml:space="preserve">Een concrete rapportageverplichting: de combinatie van een AIFM, een NCA-registratie en een rapportageperiode. Wordt automatisch gegenereerd via de obligation-kalender. Dit is de centrale schakel van de gehele compliance-pipeline: vrijwel alle andere processen (ingestion, validatie, review, submission) zijn aan een obligation gebonden. Status loopt van PENDING via IN_PROGRESS naar SUBMITTED.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obligation_id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aifm_id → aifm_entities  |  registration_id → nca_registrations  |  period_id → reporting_periods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reporting_period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 (2025-Q4)</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filing_type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INIT | AMND</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INIT = initiële indiening; AMND = correctie op eerdere indiening.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status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PENDING/IN_PROGRESS/…</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deadline_date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date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period_end_date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date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reporting_periods</w:t>
      </w:r>
      <w:r>
        <w:t xml:space="preserve"/>
      </w:r>
    </w:p>
    <w:p>
      <w:pPr>
        <w:spacing w:before="40" w:after="100"/>
      </w:pPr>
      <w:r>
        <w:rPr>
          <w:rFonts w:ascii="Arial" w:cs="Arial" w:eastAsia="Arial" w:hAnsi="Arial"/>
          <w:color w:val="334155"/>
          <w:sz w:val="19"/>
          <w:szCs w:val="19"/>
        </w:rPr>
        <w:t xml:space="preserve">Gegenereerde kalenderperiodes per NCA-registratie. Kwartaal-, half- en jaarperiodes met bijbehorende deadline-datums. Vormt de basis voor de obligation-kalender en de deadline-monitoring. De periodes worden automatisch vooruit gegenereerd op basis van de geconfigureerde rapportagefrequentie per NCA-registratie.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period_id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registration_id → nca_registrations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period_type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Q | H | Y</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period_year</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int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period_sequence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int (1–4)</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period_end_date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date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deadline_date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date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2"/>
        <w:spacing w:before="280" w:after="120"/>
      </w:pPr>
      <w:r>
        <w:rPr>
          <w:rFonts w:ascii="Arial" w:cs="Arial" w:eastAsia="Arial" w:hAnsi="Arial"/>
          <w:b/>
          <w:bCs/>
          <w:color w:val="1B2A4A"/>
          <w:sz w:val="26"/>
          <w:szCs w:val="26"/>
        </w:rPr>
        <w:t xml:space="preserve">2.4  Data Ingestion</w:t>
      </w:r>
    </w:p>
    <w:p>
      <w:pPr>
        <w:pStyle w:val="Heading3"/>
        <w:spacing w:before="200" w:after="80"/>
      </w:pPr>
      <w:r>
        <w:rPr>
          <w:rFonts w:ascii="Courier New" w:cs="Courier New" w:eastAsia="Courier New" w:hAnsi="Courier New"/>
          <w:b/>
          <w:bCs/>
          <w:color w:val="2563EB"/>
          <w:sz w:val="22"/>
          <w:szCs w:val="22"/>
        </w:rPr>
        <w:t xml:space="preserve">ingestion_jobs</w:t>
      </w:r>
      <w:r>
        <w:t xml:space="preserve"/>
      </w:r>
    </w:p>
    <w:p>
      <w:pPr>
        <w:spacing w:before="40" w:after="100"/>
      </w:pPr>
      <w:r>
        <w:rPr>
          <w:rFonts w:ascii="Arial" w:cs="Arial" w:eastAsia="Arial" w:hAnsi="Arial"/>
          <w:color w:val="334155"/>
          <w:sz w:val="19"/>
          <w:szCs w:val="19"/>
        </w:rPr>
        <w:t xml:space="preserve">Bijhouding van elk data-ingestion event. Het startpunt van de pipeline voor elke dataaanvoer via één van de vijf ondersteunde kanalen: REST API, bestandsupload (CSV/Excel/JSON), SFTP, handmatige webinvoer of AI-assisted parsing van ongestructureerde documenten. Bij het gebruik van een legacy template-adapter wordt de adapter-identifier opgeslagen voor volledige traceerbaarheid.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job_id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aifm_id → aifm_entities  |  obligation_id → reporting_obligations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channel</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API/FILE/SFTP/MAN/AI</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status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PENDING/PROC/DONE/FAIL</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adapter_used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 nullable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source_filename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 nullable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created_at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position_records</w:t>
      </w:r>
      <w:r>
        <w:t xml:space="preserve"/>
      </w:r>
    </w:p>
    <w:p>
      <w:pPr>
        <w:spacing w:before="40" w:after="100"/>
      </w:pPr>
      <w:r>
        <w:rPr>
          <w:rFonts w:ascii="Arial" w:cs="Arial" w:eastAsia="Arial" w:hAnsi="Arial"/>
          <w:color w:val="334155"/>
          <w:sz w:val="19"/>
          <w:szCs w:val="19"/>
        </w:rPr>
        <w:t xml:space="preserve">Positie-level data per AIF per rapportageperiode. Dit is een versioned dataset: incrementele updates triggeren automatisch de herberekening van afgeleide velden in het canonical record (hefboomwerking, AuM, rankings). Elke positie bevat instrument-identificatie, asset type (AIFMD Tabel 1), marktwaarde, valuta en encumbrance-status. Voor derivaten wordt ook de nominale waarde opgeslagen.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position_id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job_id → ingestion_jobs  |  aif_id → aif_profiles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instrument_id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asset_type_code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SubAssetType tbl 1</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market_value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numeric</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currency</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ISO 4217</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is_encumbered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bool</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field_provenance_history</w:t>
      </w:r>
      <w:r>
        <w:t xml:space="preserve"/>
      </w:r>
    </w:p>
    <w:p>
      <w:pPr>
        <w:spacing w:before="40" w:after="100"/>
      </w:pPr>
      <w:r>
        <w:rPr>
          <w:rFonts w:ascii="Arial" w:cs="Arial" w:eastAsia="Arial" w:hAnsi="Arial"/>
          <w:color w:val="334155"/>
          <w:sz w:val="19"/>
          <w:szCs w:val="19"/>
        </w:rPr>
        <w:t xml:space="preserve">Immutable geschiedenis van elke veldwaarde in een canonical record. Zeven provenance-types: DERIVED (berekend), AI_PROPOSED (AI-extractie, niet bevestigd), MANUALLY_ENTERED, MANUALLY_OVERRIDDEN, IMPORTED (via legacy adapter), SMART_DEFAULT en LOCKED. Elke provenance-record is atomair opgeslagen samen met de veldwaarde. Retentie: 10 jaar. Basis voor het veld-lineage overzicht in de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provenance_id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record_id → canonical_records  |  position_id → position_records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field_name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field_value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jsonb</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provenance_type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enum (7 waarden)</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7 waarden: DERIVED, AI_PROPOSED, MANUALLY_ENTERED, MANUALLY_OVERRIDDEN, IMPORTED, SMART_DEFAULT, LOCKED.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change_timestamp</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changed_by_user_id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uuid nullable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2"/>
        <w:spacing w:before="280" w:after="120"/>
      </w:pPr>
      <w:r>
        <w:rPr>
          <w:rFonts w:ascii="Arial" w:cs="Arial" w:eastAsia="Arial" w:hAnsi="Arial"/>
          <w:b/>
          <w:bCs/>
          <w:color w:val="1B2A4A"/>
          <w:sz w:val="26"/>
          <w:szCs w:val="26"/>
        </w:rPr>
        <w:t xml:space="preserve">2.5  Canonical Data</w:t>
      </w:r>
    </w:p>
    <w:p>
      <w:pPr>
        <w:pStyle w:val="Heading3"/>
        <w:spacing w:before="200" w:after="80"/>
      </w:pPr>
      <w:r>
        <w:rPr>
          <w:rFonts w:ascii="Courier New" w:cs="Courier New" w:eastAsia="Courier New" w:hAnsi="Courier New"/>
          <w:b/>
          <w:bCs/>
          <w:color w:val="2563EB"/>
          <w:sz w:val="22"/>
          <w:szCs w:val="22"/>
        </w:rPr>
        <w:t xml:space="preserve">canonical_records</w:t>
      </w:r>
      <w:r>
        <w:t xml:space="preserve"/>
      </w:r>
    </w:p>
    <w:p>
      <w:pPr>
        <w:spacing w:before="40" w:after="100"/>
      </w:pPr>
      <w:r>
        <w:rPr>
          <w:rFonts w:ascii="Arial" w:cs="Arial" w:eastAsia="Arial" w:hAnsi="Arial"/>
          <w:color w:val="334155"/>
          <w:sz w:val="19"/>
          <w:szCs w:val="19"/>
        </w:rPr>
        <w:t xml:space="preserve">Het canonieke AIFMD Annex IV record per AIF per rapportageverplichting. Dit is de single source of truth: alle ingestion-kanalen produceren uiteindelijk een record conform dit canonieke datamodel. Versioned met een SHA-256 hash voor integriteitscontrole bij de review gate. De NCA-XML-serialisatie is een downstream transformatie van dit record; het canonieke record zelf wordt nooit gewijzigd door packaging.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record_id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aif_id → aif_profiles  |  obligation_id → reporting_obligations  |  job_id → ingestion_jobs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record_version</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int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record_hash</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sha-256 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SHA-256 van de volledige canonieke recordinhoud. Opgeslagen in review_gates voor tamper-detectie.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status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DRAFT/VALIDATED/APPROVED/…</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schema_version</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semver</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last_updated_at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aifm_aggregation_records</w:t>
      </w:r>
      <w:r>
        <w:t xml:space="preserve"/>
      </w:r>
    </w:p>
    <w:p>
      <w:pPr>
        <w:spacing w:before="40" w:after="100"/>
      </w:pPr>
      <w:r>
        <w:rPr>
          <w:rFonts w:ascii="Arial" w:cs="Arial" w:eastAsia="Arial" w:hAnsi="Arial"/>
          <w:color w:val="334155"/>
          <w:sz w:val="19"/>
          <w:szCs w:val="19"/>
        </w:rPr>
        <w:t xml:space="preserve">AIFM-niveau aggregatie-record: TotalAuM, PrincipalMarkets, PrincipalInstruments en NumberOfFunds. Wordt automatisch herberekend bij elke update van een onderliggend AIF-record. De AIFM-workflow is niet geblokkeerd op AIF-completion; aggregatie is een doorlopende berekening. Status: COMPLETE (alle AIFs aanwezig), PARTIAL (niet alle AIFs ingevuld) of MANUAL.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aggregation_id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aifm_id → aifm_entities  |  obligation_id → reporting_obligations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total_aum</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numeric</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number_of_funds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int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aggregation_status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COMPLETE/PARTIAL/MANUAL</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COMPLETE = alle AIF-records aanwezig; PARTIAL = ontbrekende AIFs; MANUAL = handmatig ingevuld.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last_calculated_at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missing_aif_count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int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2"/>
        <w:spacing w:before="280" w:after="120"/>
      </w:pPr>
      <w:r>
        <w:rPr>
          <w:rFonts w:ascii="Arial" w:cs="Arial" w:eastAsia="Arial" w:hAnsi="Arial"/>
          <w:b/>
          <w:bCs/>
          <w:color w:val="1B2A4A"/>
          <w:sz w:val="26"/>
          <w:szCs w:val="26"/>
        </w:rPr>
        <w:t xml:space="preserve">2.6  Validatie</w:t>
      </w:r>
    </w:p>
    <w:p>
      <w:pPr>
        <w:pStyle w:val="Heading3"/>
        <w:spacing w:before="200" w:after="80"/>
      </w:pPr>
      <w:r>
        <w:rPr>
          <w:rFonts w:ascii="Courier New" w:cs="Courier New" w:eastAsia="Courier New" w:hAnsi="Courier New"/>
          <w:b/>
          <w:bCs/>
          <w:color w:val="2563EB"/>
          <w:sz w:val="22"/>
          <w:szCs w:val="22"/>
        </w:rPr>
        <w:t xml:space="preserve">validation_runs</w:t>
      </w:r>
      <w:r>
        <w:t xml:space="preserve"/>
      </w:r>
    </w:p>
    <w:p>
      <w:pPr>
        <w:spacing w:before="40" w:after="100"/>
      </w:pPr>
      <w:r>
        <w:rPr>
          <w:rFonts w:ascii="Arial" w:cs="Arial" w:eastAsia="Arial" w:hAnsi="Arial"/>
          <w:color w:val="334155"/>
          <w:sz w:val="19"/>
          <w:szCs w:val="19"/>
        </w:rPr>
        <w:t xml:space="preserve">Een deterministische validatierun per canonical record per NCA-registratie (L3 van de pipeline). Elke run past het NCA-specifieke override-profiel toe en produceert een gestructureerd validatierapport. De rule-engine versie wordt per run opgeslagen zodat elke validatie volledig reproduceerbaar en traceerbaar is. Dezelfde input levert altijd dezelfde output: geen AI-betrokkenheid op dit niveau.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run_id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record_id → canonical_records  |  registration_id → nca_registrations  |  profile_id → nca_override_profiles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rule_engine_version</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semver</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run_timestamp</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result_summary</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PASS/HAS_CAF/HAS_CAM/…</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caf_count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int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cam_count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int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validation_results</w:t>
      </w:r>
      <w:r>
        <w:t xml:space="preserve"/>
      </w:r>
    </w:p>
    <w:p>
      <w:pPr>
        <w:spacing w:before="40" w:after="100"/>
      </w:pPr>
      <w:r>
        <w:rPr>
          <w:rFonts w:ascii="Arial" w:cs="Arial" w:eastAsia="Arial" w:hAnsi="Arial"/>
          <w:color w:val="334155"/>
          <w:sz w:val="19"/>
          <w:szCs w:val="19"/>
        </w:rPr>
        <w:t xml:space="preserve">Per-veld validatieresultaat binnen een validatierun. Vier mogelijke uitkomsten: PASS, CAF (Critical Actionable Failure – blokkerend), CAM (Critical Actionable Message – geaccepteerd met vlag) en DQ_WARNING (ESMA DQEF statistische check – nooit blokkerend). Elke regel slaat de ESMA-foutcode, de werkelijke veldwaarde en de constraint-beschrijving op voor menselijke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result_id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run_id → validation_runs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field_path</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result_code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PASS/CAF/CAM/DQ</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PASS = correct; CAF = blokkerend; CAM = geaccepteerd met vlag; DQ = kwaliteitswaarschuwing.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esma_error_code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actual_value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constraint_description</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2"/>
        <w:spacing w:before="280" w:after="120"/>
      </w:pPr>
      <w:r>
        <w:rPr>
          <w:rFonts w:ascii="Arial" w:cs="Arial" w:eastAsia="Arial" w:hAnsi="Arial"/>
          <w:b/>
          <w:bCs/>
          <w:color w:val="1B2A4A"/>
          <w:sz w:val="26"/>
          <w:szCs w:val="26"/>
        </w:rPr>
        <w:t xml:space="preserve">2.7  Review &amp; Approval</w:t>
      </w:r>
    </w:p>
    <w:p>
      <w:pPr>
        <w:pStyle w:val="Heading3"/>
        <w:spacing w:before="200" w:after="80"/>
      </w:pPr>
      <w:r>
        <w:rPr>
          <w:rFonts w:ascii="Courier New" w:cs="Courier New" w:eastAsia="Courier New" w:hAnsi="Courier New"/>
          <w:b/>
          <w:bCs/>
          <w:color w:val="2563EB"/>
          <w:sz w:val="22"/>
          <w:szCs w:val="22"/>
        </w:rPr>
        <w:t xml:space="preserve">review_gates</w:t>
      </w:r>
      <w:r>
        <w:t xml:space="preserve"/>
      </w:r>
    </w:p>
    <w:p>
      <w:pPr>
        <w:spacing w:before="40" w:after="100"/>
      </w:pPr>
      <w:r>
        <w:rPr>
          <w:rFonts w:ascii="Arial" w:cs="Arial" w:eastAsia="Arial" w:hAnsi="Arial"/>
          <w:color w:val="334155"/>
          <w:sz w:val="19"/>
          <w:szCs w:val="19"/>
        </w:rPr>
        <w:t xml:space="preserve">De verplichte menselijke review gate per canonical record (L5 van de pipeline). Non-bypassable, ook niet via API. Op het moment van aanmaken wordt de SHA-256 hash van het canonical record opgeslagen; elke latere wijziging aan het record invalideert de gate en vereist een nieuwe review. Ondersteunt zowel individuele review als bulk-goedkeuring van records zonder vlaggen.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gate_id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record_id → canonical_records  |  obligation_id → reporting_obligations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status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PENDING/APPROVED/REJECTED/…</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record_hash_at_gate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sha-256</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created_at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approved_at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 nullable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bulk_approval_flag</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bool</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approval_decisions</w:t>
      </w:r>
      <w:r>
        <w:t xml:space="preserve"/>
      </w:r>
    </w:p>
    <w:p>
      <w:pPr>
        <w:spacing w:before="40" w:after="100"/>
      </w:pPr>
      <w:r>
        <w:rPr>
          <w:rFonts w:ascii="Arial" w:cs="Arial" w:eastAsia="Arial" w:hAnsi="Arial"/>
          <w:color w:val="334155"/>
          <w:sz w:val="19"/>
          <w:szCs w:val="19"/>
        </w:rPr>
        <w:t xml:space="preserve">Individuele goedkeurings- of afwijzingsactie door een COMPLIANCE_REVIEWER of TENANT_ADMIN. Bevat de volledige checklist-bevestigingen (als JSON), de bevestigde record-hash en de rol van de goedkeurder. Immutable na aanmaken: kan niet worden gewijzigd of verwijderd. Retentie: 10 jaar. Dit record is het primaire DORA Art.30 toezicht-bewijs.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decision_id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gate_id → review_gates  |  user_id → users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decision_type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APPROVED | REJECTED</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checklist_acks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jsonb</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record_hash_confirmed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sha-256</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approver_role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timestamp</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2"/>
        <w:spacing w:before="280" w:after="120"/>
      </w:pPr>
      <w:r>
        <w:rPr>
          <w:rFonts w:ascii="Arial" w:cs="Arial" w:eastAsia="Arial" w:hAnsi="Arial"/>
          <w:b/>
          <w:bCs/>
          <w:color w:val="1B2A4A"/>
          <w:sz w:val="26"/>
          <w:szCs w:val="26"/>
        </w:rPr>
        <w:t xml:space="preserve">2.8  Submission &amp; Delivery</w:t>
      </w:r>
    </w:p>
    <w:p>
      <w:pPr>
        <w:pStyle w:val="Heading3"/>
        <w:spacing w:before="200" w:after="80"/>
      </w:pPr>
      <w:r>
        <w:rPr>
          <w:rFonts w:ascii="Courier New" w:cs="Courier New" w:eastAsia="Courier New" w:hAnsi="Courier New"/>
          <w:b/>
          <w:bCs/>
          <w:color w:val="2563EB"/>
          <w:sz w:val="22"/>
          <w:szCs w:val="22"/>
        </w:rPr>
        <w:t xml:space="preserve">submissions</w:t>
      </w:r>
      <w:r>
        <w:t xml:space="preserve"/>
      </w:r>
    </w:p>
    <w:p>
      <w:pPr>
        <w:spacing w:before="40" w:after="100"/>
      </w:pPr>
      <w:r>
        <w:rPr>
          <w:rFonts w:ascii="Arial" w:cs="Arial" w:eastAsia="Arial" w:hAnsi="Arial"/>
          <w:color w:val="334155"/>
          <w:sz w:val="19"/>
          <w:szCs w:val="19"/>
        </w:rPr>
        <w:t xml:space="preserve">Submission record per rapportageverplichting per NCA. De centrale schakel tussen de compliance-pipeline en de daadwerkelijke NCA-aflevering. Bevat het geconfigureerde leveringskanaal, de huidige leveringsstatus en het NCA-bevestigingsnummer na ontvangst. Zes leveringskanalen: DIRECT_API, ROBOT_PORTAL, S3_CLIENT_BUCKET, S3_EAGLE_BUCKET, SFTP_EAGLE_SERVER en MANUAL download.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submission_id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obligation_id → reporting_obligations  |  registration_id → nca_registrations  |  gate_id → review_gates  |  record_id → canonical_records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delivery_channel</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enum (6 kanalen)</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6 kanalen: DIRECT_API, ROBOT_PORTAL, S3_CLIENT_BUCKET, S3_EAGLE_BUCKET, SFTP_EAGLE_SERVER, MANUAL.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status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QUEUED/DELIVERING/SUBMITTED/…</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submitted_at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 nullable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nca_confirmation_number</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 nullable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filing_type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INIT | AMND</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INIT = initiële indiening; AMND = correctie op eerdere indiening.</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submission_packages</w:t>
      </w:r>
      <w:r>
        <w:t xml:space="preserve"/>
      </w:r>
    </w:p>
    <w:p>
      <w:pPr>
        <w:spacing w:before="40" w:after="100"/>
      </w:pPr>
      <w:r>
        <w:rPr>
          <w:rFonts w:ascii="Arial" w:cs="Arial" w:eastAsia="Arial" w:hAnsi="Arial"/>
          <w:color w:val="334155"/>
          <w:sz w:val="19"/>
          <w:szCs w:val="19"/>
        </w:rPr>
        <w:t xml:space="preserve">Het gecreëerde NCA-specifieke pakket: de XML-inhoud als S3-referentie, het gebruikte compressie-formaat, de bestandsnaam en een checksum (MD5 of SHA-256 per NCA-eis). De inhoud wordt nooit gewijzigd na aanmaken. Bij S3_EAGLE_BUCKET wordt het bestand verwijderd na download of na 7 dagen, afhankelijk van wat het eerst plaatsvindt.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package_id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submission_id → submissions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xml_s3_ref</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 (S3 key)</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compression_type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none/zip/gzip/…</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filename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checksum_value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file_size_bytes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bigint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submission_acknowledgements</w:t>
      </w:r>
      <w:r>
        <w:t xml:space="preserve"/>
      </w:r>
    </w:p>
    <w:p>
      <w:pPr>
        <w:spacing w:before="40" w:after="100"/>
      </w:pPr>
      <w:r>
        <w:rPr>
          <w:rFonts w:ascii="Arial" w:cs="Arial" w:eastAsia="Arial" w:hAnsi="Arial"/>
          <w:color w:val="334155"/>
          <w:sz w:val="19"/>
          <w:szCs w:val="19"/>
        </w:rPr>
        <w:t xml:space="preserve">NCA-ontvangstbevestiging. Bevat het portaalbevestigingsnummer, de ontvangstdatum en de bron (automatisch via robot of handmatig ingevoerd door de gebruiker). Bij ROBOT_PORTAL-leveringen wordt ook de robot-sessielog-referentie opgeslagen. Dit record koppelt de NCA-receipt definitief aan de submission voor auditdoeleinden.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ack_id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submission_id → submissions  |  user_id → users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nca_confirmation_number</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received_at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source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ROBOT | MANUAL</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robot_session_log_ref</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 nullable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entered_by_channel</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WEB_UI | API</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2"/>
        <w:spacing w:before="280" w:after="120"/>
      </w:pPr>
      <w:r>
        <w:rPr>
          <w:rFonts w:ascii="Arial" w:cs="Arial" w:eastAsia="Arial" w:hAnsi="Arial"/>
          <w:b/>
          <w:bCs/>
          <w:color w:val="1B2A4A"/>
          <w:sz w:val="26"/>
          <w:szCs w:val="26"/>
        </w:rPr>
        <w:t xml:space="preserve">2.9  Reference Data</w:t>
      </w:r>
    </w:p>
    <w:p>
      <w:pPr>
        <w:pStyle w:val="Heading3"/>
        <w:spacing w:before="200" w:after="80"/>
      </w:pPr>
      <w:r>
        <w:rPr>
          <w:rFonts w:ascii="Courier New" w:cs="Courier New" w:eastAsia="Courier New" w:hAnsi="Courier New"/>
          <w:b/>
          <w:bCs/>
          <w:color w:val="2563EB"/>
          <w:sz w:val="22"/>
          <w:szCs w:val="22"/>
        </w:rPr>
        <w:t xml:space="preserve">ecb_fx_rates</w:t>
      </w:r>
      <w:r>
        <w:t xml:space="preserve"/>
      </w:r>
    </w:p>
    <w:p>
      <w:pPr>
        <w:spacing w:before="40" w:after="100"/>
      </w:pPr>
      <w:r>
        <w:rPr>
          <w:rFonts w:ascii="Arial" w:cs="Arial" w:eastAsia="Arial" w:hAnsi="Arial"/>
          <w:color w:val="334155"/>
          <w:sz w:val="19"/>
          <w:szCs w:val="19"/>
        </w:rPr>
        <w:t xml:space="preserve">Cache van ECB-wisselkoersen. Dagelijks bijgewerkt. De system geeft een DQ-waarschuwing bij koersen ouder dan 2 werkdagen (data quality, niet blokkerend) en blokkeert de pipeline volledig bij koersen ouder dan 10 werkdagen. Er is geen stille substitutie van ontbrekende koersen: ontbrekende koers = berekening stopt met een duidelijke foutmelding.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rate_id</w:t>
            </w:r>
          </w:p>
        </w:tc>
        <w:tc>
          <w:tcPr>
            <w:tcW w:type="dxa" w:w="7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currency_pair</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 (EUR/USD)</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rate_date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date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exchange_rate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numeric(18,8)</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last_fetched_at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staleness_status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OK/WARN/BLOCKED</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OK = actueel; WARN = &gt;2 werkdagen oud; BLOCKED = &gt;10 werkdagen oud (pipeline geblokkeerd).</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gleif_lei_cache</w:t>
      </w:r>
      <w:r>
        <w:t xml:space="preserve"/>
      </w:r>
    </w:p>
    <w:p>
      <w:pPr>
        <w:spacing w:before="40" w:after="100"/>
      </w:pPr>
      <w:r>
        <w:rPr>
          <w:rFonts w:ascii="Arial" w:cs="Arial" w:eastAsia="Arial" w:hAnsi="Arial"/>
          <w:color w:val="334155"/>
          <w:sz w:val="19"/>
          <w:szCs w:val="19"/>
        </w:rPr>
        <w:t xml:space="preserve">Cache van het GLEIF LEI-register. Wordt gebruikt voor de validatie van LEIs van AIFMs, AIFs en counterparties. Een verouderde cache produceert alleen een DQ-waarschuwing, nooit een blokkering. Per AIFM-entiteit is er een jaarlijkse hervalidatietrigger om te controleren of het LEI nog actief is in het GLEIF-register.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lei</w:t>
            </w:r>
          </w:p>
        </w:tc>
        <w:tc>
          <w:tcPr>
            <w:tcW w:type="dxa" w:w="7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legal_name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jurisdiction</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ISO 3166-1 α-2</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entity_status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ACTIVE | INACTIVE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last_validated_at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next_validation_due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date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2"/>
        <w:spacing w:before="280" w:after="120"/>
      </w:pPr>
      <w:r>
        <w:rPr>
          <w:rFonts w:ascii="Arial" w:cs="Arial" w:eastAsia="Arial" w:hAnsi="Arial"/>
          <w:b/>
          <w:bCs/>
          <w:color w:val="1B2A4A"/>
          <w:sz w:val="26"/>
          <w:szCs w:val="26"/>
        </w:rPr>
        <w:t xml:space="preserve">2.10  Audit Trail</w:t>
      </w:r>
    </w:p>
    <w:p>
      <w:pPr>
        <w:pStyle w:val="Heading3"/>
        <w:spacing w:before="200" w:after="80"/>
      </w:pPr>
      <w:r>
        <w:rPr>
          <w:rFonts w:ascii="Courier New" w:cs="Courier New" w:eastAsia="Courier New" w:hAnsi="Courier New"/>
          <w:b/>
          <w:bCs/>
          <w:color w:val="2563EB"/>
          <w:sz w:val="22"/>
          <w:szCs w:val="22"/>
        </w:rPr>
        <w:t xml:space="preserve">audit_events</w:t>
      </w:r>
      <w:r>
        <w:t xml:space="preserve"/>
      </w:r>
    </w:p>
    <w:p>
      <w:pPr>
        <w:spacing w:before="40" w:after="100"/>
      </w:pPr>
      <w:r>
        <w:rPr>
          <w:rFonts w:ascii="Arial" w:cs="Arial" w:eastAsia="Arial" w:hAnsi="Arial"/>
          <w:color w:val="334155"/>
          <w:sz w:val="19"/>
          <w:szCs w:val="19"/>
        </w:rPr>
        <w:t xml:space="preserve">Immutable, append-only event log over alle pipeline-lagen (L1 t/m L11). Elke platformgebeurtenis wordt hier vastgelegd: data-ingestion, validatie, review-acties, submissions en systeemfouten. AI-gerelateerde stappen worden apart getagd via is_ai_step. Retentie: 10 jaar. Basis voor ISAE 3402, SOC 2, ISO 27001 en EU AI Act evidence. Kan nooit worden gewijzigd of verwijderd.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event_id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tenant_id → tenants  |  user_id → users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event_type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 (enum)</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event_timestamp</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pipeline_layer</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L1–L11</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is_ai_step</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bool</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True als het event is gegenereerd door een AI-component (L2). Vereist voor EU AI Act traceerbaarheid.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payload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jsonb</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2"/>
        <w:spacing w:before="280" w:after="120"/>
      </w:pPr>
      <w:r>
        <w:rPr>
          <w:rFonts w:ascii="Arial" w:cs="Arial" w:eastAsia="Arial" w:hAnsi="Arial"/>
          <w:b/>
          <w:bCs/>
          <w:color w:val="1B2A4A"/>
          <w:sz w:val="26"/>
          <w:szCs w:val="26"/>
        </w:rPr>
        <w:t xml:space="preserve">2.11  GTM &amp; Trial</w:t>
      </w:r>
    </w:p>
    <w:p>
      <w:pPr>
        <w:pStyle w:val="Heading3"/>
        <w:spacing w:before="200" w:after="80"/>
      </w:pPr>
      <w:r>
        <w:rPr>
          <w:rFonts w:ascii="Courier New" w:cs="Courier New" w:eastAsia="Courier New" w:hAnsi="Courier New"/>
          <w:b/>
          <w:bCs/>
          <w:color w:val="2563EB"/>
          <w:sz w:val="22"/>
          <w:szCs w:val="22"/>
        </w:rPr>
        <w:t xml:space="preserve">prospects</w:t>
      </w:r>
      <w:r>
        <w:t xml:space="preserve"/>
      </w:r>
    </w:p>
    <w:p>
      <w:pPr>
        <w:spacing w:before="40" w:after="100"/>
      </w:pPr>
      <w:r>
        <w:rPr>
          <w:rFonts w:ascii="Arial" w:cs="Arial" w:eastAsia="Arial" w:hAnsi="Arial"/>
          <w:color w:val="334155"/>
          <w:sz w:val="19"/>
          <w:szCs w:val="19"/>
        </w:rPr>
        <w:t xml:space="preserve">AIFM-prospect database, gevoed vanuit ESMA-registers en nationale toezichthouderregisters. Bevat een legitimiteitscore (HIGH/MEDIUM/LOW) en MQL-status voor het commerciële pipeline-beheer. Web enrichment-data wordt opgeslagen als input voor trial-prepopulatie. GDPR-vereiste: een legitimate interest-basis moet gedocumenteerd zijn in de RoPA vóór go-live.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prospect_id</w:t>
            </w:r>
          </w:p>
        </w:tc>
        <w:tc>
          <w:tcPr>
            <w:tcW w:type="dxa" w:w="78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legal_name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lei</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char(20) nullable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ISO 17442 — 20 tekens. Gevalideerd tegen GLEIF-register bij aanmaken.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nca_code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 (home NCA)</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legitimacy_score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HIGH/MED/LOW</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HIGH = automatisch provisioned; MED/LOW = COO review vereist vóór trial activatie.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mql_status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PROSPECT/MQL/SAL/…</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trial_lifecycle</w:t>
      </w:r>
      <w:r>
        <w:t xml:space="preserve"/>
      </w:r>
    </w:p>
    <w:p>
      <w:pPr>
        <w:spacing w:before="40" w:after="100"/>
      </w:pPr>
      <w:r>
        <w:rPr>
          <w:rFonts w:ascii="Arial" w:cs="Arial" w:eastAsia="Arial" w:hAnsi="Arial"/>
          <w:color w:val="334155"/>
          <w:sz w:val="19"/>
          <w:szCs w:val="19"/>
        </w:rPr>
        <w:t xml:space="preserve">Trial account lifecycle record. Statussen: PENDING_REVIEW, ACTIVE_TRIAL, GRACE_PERIOD, EXPIRED en CONVERTED. De standaard tijdlimiet is 60 dagen, configureerbaar tussen 14 en 90 dagen. Na verlopen volgt een 30-daagse grace period waarna alle trial-data automatisch wordt verwijderd, tenzij de trial is geconverteerd naar een betaalde account. De health score (HOT/WARM/COLD/INACTIVE) triggert Pipedrive-notificaties.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trial_id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tenant_id → tenants  |  prospect_id → prospects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status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PENDING/ACTIVE/GRACE/…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activated_at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expires_at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health_score_tier</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HOT/WARM/COLD/INA</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HOT/WARM triggert Pipedrive-notificatie voor commercieel opvolging.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time_limit_days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int (default 60)</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2"/>
        <w:spacing w:before="280" w:after="120"/>
      </w:pPr>
      <w:r>
        <w:rPr>
          <w:rFonts w:ascii="Arial" w:cs="Arial" w:eastAsia="Arial" w:hAnsi="Arial"/>
          <w:b/>
          <w:bCs/>
          <w:color w:val="1B2A4A"/>
          <w:sz w:val="26"/>
          <w:szCs w:val="26"/>
        </w:rPr>
        <w:t xml:space="preserve">2.12  Billing (Phase 1.5)</w:t>
      </w:r>
    </w:p>
    <w:p>
      <w:pPr>
        <w:pStyle w:val="Heading3"/>
        <w:spacing w:before="200" w:after="80"/>
      </w:pPr>
      <w:r>
        <w:rPr>
          <w:rFonts w:ascii="Courier New" w:cs="Courier New" w:eastAsia="Courier New" w:hAnsi="Courier New"/>
          <w:b/>
          <w:bCs/>
          <w:color w:val="2563EB"/>
          <w:sz w:val="22"/>
          <w:szCs w:val="22"/>
        </w:rPr>
        <w:t xml:space="preserve">subscriptions</w:t>
      </w:r>
      <w:r>
        <w:rPr>
          <w:rFonts w:ascii="Arial" w:cs="Arial" w:eastAsia="Arial" w:hAnsi="Arial"/>
          <w:color w:val="64748B"/>
          <w:sz w:val="18"/>
          <w:szCs w:val="18"/>
        </w:rPr>
        <w:t xml:space="preserve">  ·  Phase 1.5</w:t>
      </w:r>
    </w:p>
    <w:p>
      <w:pPr>
        <w:spacing w:before="40" w:after="100"/>
      </w:pPr>
      <w:r>
        <w:rPr>
          <w:rFonts w:ascii="Arial" w:cs="Arial" w:eastAsia="Arial" w:hAnsi="Arial"/>
          <w:color w:val="334155"/>
          <w:sz w:val="19"/>
          <w:szCs w:val="19"/>
        </w:rPr>
        <w:t xml:space="preserve">Abonnementsrecord per tenant. Bevat het plan-type, het aantal AIFs en NCA-registraties als input voor usage-based facturering. De billing-module is strikt geïsoleerd van de compliance-pipeline: geen billing-data stroomt door rapportageprocessen of de audit trail. Fase 1.5-module: live bij circa 10 klanten of bij de eerste externe financieringsronde.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subscription_id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tenant_id → tenants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plan_type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aif_count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int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nca_registration_count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int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billing_status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ACTIVE/SUSPENDED/…</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activated_at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timestamptz</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pStyle w:val="Heading3"/>
        <w:spacing w:before="200" w:after="80"/>
      </w:pPr>
      <w:r>
        <w:rPr>
          <w:rFonts w:ascii="Courier New" w:cs="Courier New" w:eastAsia="Courier New" w:hAnsi="Courier New"/>
          <w:b/>
          <w:bCs/>
          <w:color w:val="2563EB"/>
          <w:sz w:val="22"/>
          <w:szCs w:val="22"/>
        </w:rPr>
        <w:t xml:space="preserve">billing_events</w:t>
      </w:r>
      <w:r>
        <w:rPr>
          <w:rFonts w:ascii="Arial" w:cs="Arial" w:eastAsia="Arial" w:hAnsi="Arial"/>
          <w:color w:val="64748B"/>
          <w:sz w:val="18"/>
          <w:szCs w:val="18"/>
        </w:rPr>
        <w:t xml:space="preserve">  ·  Phase 1.5</w:t>
      </w:r>
    </w:p>
    <w:p>
      <w:pPr>
        <w:spacing w:before="40" w:after="100"/>
      </w:pPr>
      <w:r>
        <w:rPr>
          <w:rFonts w:ascii="Arial" w:cs="Arial" w:eastAsia="Arial" w:hAnsi="Arial"/>
          <w:color w:val="334155"/>
          <w:sz w:val="19"/>
          <w:szCs w:val="19"/>
        </w:rPr>
        <w:t xml:space="preserve">Factuurregels en betalingsstatus per facturatieperiode. Bevat de periode, het bedrag in euro en de status (INVOICED, PAID of OVERDUE). Volledig losgekoppeld van de compliance-pipeline conform het "database-first" principe: facturatiedata is een eerste-klas databaserecord, niet een export van een extern systeem.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top"/>
          </w:tcPr>
          <w:p>
            <w:pPr>
              <w:spacing w:before="50" w:after="50"/>
            </w:pPr>
            <w:r>
              <w:rPr>
                <w:rFonts w:ascii="Courier New" w:cs="Courier New" w:eastAsia="Courier New" w:hAnsi="Courier New"/>
                <w:b/>
                <w:bCs/>
                <w:color w:val="92400e"/>
                <w:sz w:val="17"/>
                <w:szCs w:val="17"/>
              </w:rPr>
              <w:t xml:space="preserve">PK: billing_event_id</w:t>
            </w:r>
          </w:p>
        </w:tc>
        <w:tc>
          <w:tcPr>
            <w:tcW w:type="dxa" w:w="7826"/>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top"/>
          </w:tcPr>
          <w:p>
            <w:pPr>
              <w:spacing w:before="50" w:after="50"/>
            </w:pPr>
            <w:r>
              <w:rPr>
                <w:rFonts w:ascii="Courier New" w:cs="Courier New" w:eastAsia="Courier New" w:hAnsi="Courier New"/>
                <w:color w:val="3730a3"/>
                <w:sz w:val="17"/>
                <w:szCs w:val="17"/>
              </w:rPr>
              <w:t xml:space="preserve">FK: subscription_id → subscriptions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Veld</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Type</w:t>
            </w:r>
          </w:p>
        </w:tc>
        <w:tc>
          <w:tcPr>
            <w:tcW w:type="dxa" w:w="52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Toelichting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period_start</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date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period_end</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date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amount_eur</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numeric(12,2)</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status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INVOICED/PAID/OVERDUE</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invoice_reference</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7"/>
                <w:szCs w:val="17"/>
              </w:rPr>
              <w:t xml:space="preserve">text</w:t>
            </w:r>
          </w:p>
        </w:tc>
        <w:tc>
          <w:tcPr>
            <w:tcW w:type="dxa" w:w="5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w:t>
            </w:r>
          </w:p>
        </w:tc>
      </w:tr>
    </w:tbl>
    <w:p>
      <w:pPr>
        <w:spacing w:before="120" w:after="0"/>
      </w:pPr>
    </w:p>
    <w:p>
      <w:pPr>
        <w:spacing w:before="300"/>
      </w:pPr>
      <w:r>
        <w:br w:type="page"/>
      </w:r>
    </w:p>
    <w:p>
      <w:pPr>
        <w:pStyle w:val="Heading1"/>
        <w:spacing w:before="0" w:after="160"/>
      </w:pPr>
      <w:r>
        <w:rPr>
          <w:rFonts w:ascii="Arial" w:cs="Arial" w:eastAsia="Arial" w:hAnsi="Arial"/>
          <w:b/>
          <w:bCs/>
          <w:color w:val="1B2A4A"/>
          <w:sz w:val="32"/>
          <w:szCs w:val="32"/>
        </w:rPr>
        <w:t xml:space="preserve">3. Relatie-overzicht (Foreign Keys)</w:t>
      </w:r>
    </w:p>
    <w:p>
      <w:pPr>
        <w:spacing w:before="60" w:after="160"/>
      </w:pPr>
      <w:r>
        <w:rPr>
          <w:rFonts w:ascii="Arial" w:cs="Arial" w:eastAsia="Arial" w:hAnsi="Arial"/>
          <w:sz w:val="20"/>
          <w:szCs w:val="20"/>
        </w:rPr>
        <w:t xml:space="preserve">Onderstaande tabel geeft een volledig overzicht van alle foreign key relaties in het schema. De centrale pipeline-as is vetgedrukt.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Tabel</w:t>
            </w:r>
          </w:p>
        </w:tc>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Foreign key</w:t>
            </w:r>
          </w:p>
        </w:tc>
        <w:tc>
          <w:tcPr>
            <w:tcW w:type="dxa" w:w="4626"/>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vAlign w:val="top"/>
          </w:tcPr>
          <w:p>
            <w:pPr>
              <w:spacing w:before="60" w:after="60"/>
            </w:pPr>
            <w:r>
              <w:rPr>
                <w:rFonts w:ascii="Arial" w:cs="Arial" w:eastAsia="Arial" w:hAnsi="Arial"/>
                <w:b/>
                <w:bCs/>
                <w:color w:val="FFFFFF"/>
                <w:sz w:val="18"/>
                <w:szCs w:val="18"/>
              </w:rPr>
              <w:t xml:space="preserve">Verwijst naar</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aifm_entities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tenant_id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tenants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users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tenant_id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tenants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user_role_assignments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user_id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users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user_role_assignments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aifm_id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aifm_entities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user_role_assignments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role_id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roles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aif_profiles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aifm_id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aifm_entities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nca_registrations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aifm_id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aifm_entities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nca_registrations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override_profile_id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nca_override_profiles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nca_credential_vault</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registration_id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nca_registrations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aif_nca_links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aif_id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aif_profiles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aif_nca_links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registration_id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nca_registrations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reporting_obligations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aifm_id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aifm_entities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reporting_obligations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registration_id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nca_registrations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reporting_obligations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period_id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reporting_periods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reporting_periods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registration_id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nca_registrations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ingestion_jobs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aifm_id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aifm_entities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ingestion_jobs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obligation_id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reporting_obligations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position_records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job_id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ingestion_jobs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position_records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aif_id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aif_profiles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field_provenance_history</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record_id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canonical_records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field_provenance_history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position_id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position_records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canonical_records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aif_id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aif_profiles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canonical_records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obligation_id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reporting_obligations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canonical_records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job_id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ingestion_jobs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aifm_aggregation_records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aifm_id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aifm_entities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aifm_aggregation_records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obligation_id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reporting_obligations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validation_runs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record_id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canonical_records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validation_runs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registration_id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nca_registrations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validation_runs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profile_id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nca_override_profiles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validation_results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run_id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validation_runs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review_gates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record_id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canonical_records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review_gates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obligation_id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reporting_obligations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approval_decisions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gate_id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review_gates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approval_decisions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user_id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users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submissions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obligation_id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reporting_obligations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submissions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registration_id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nca_registrations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submissions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gate_id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review_gates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submissions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record_id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canonical_records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submission_packages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submission_id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submissions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submission_acknowledgements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submission_id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submissions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submission_acknowledgements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user_id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users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audit_events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tenant_id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tenants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audit_events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user_id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users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trial_lifecycle</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tenant_id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tenants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trial_lifecycle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prospect_id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prospects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1e293b"/>
                <w:sz w:val="18"/>
                <w:szCs w:val="18"/>
              </w:rPr>
              <w:t xml:space="preserve">subscriptions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bCs/>
                <w:i w:val="false"/>
                <w:iCs w:val="false"/>
                <w:color w:val="2563EB"/>
                <w:sz w:val="18"/>
                <w:szCs w:val="18"/>
              </w:rPr>
              <w:t xml:space="preserve">tenant_id</w:t>
            </w:r>
          </w:p>
        </w:tc>
        <w:tc>
          <w:tcPr>
            <w:tcW w:type="dxa" w:w="4626"/>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tenants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billing_events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subscription_id</w:t>
            </w:r>
          </w:p>
        </w:tc>
        <w:tc>
          <w:tcPr>
            <w:tcW w:type="dxa" w:w="4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before="60" w:after="60"/>
            </w:pPr>
            <w:r>
              <w:rPr>
                <w:rFonts w:ascii="Arial" w:cs="Arial" w:eastAsia="Arial" w:hAnsi="Arial"/>
                <w:b w:val="false"/>
                <w:bCs w:val="false"/>
                <w:i w:val="false"/>
                <w:iCs w:val="false"/>
                <w:color w:val="1e293b"/>
                <w:sz w:val="18"/>
                <w:szCs w:val="18"/>
              </w:rPr>
              <w:t xml:space="preserve">→  subscriptions</w:t>
            </w:r>
          </w:p>
        </w:tc>
      </w:tr>
    </w:tbl>
    <w:p>
      <w:pPr>
        <w:spacing w:before="160" w:after="0"/>
      </w:pPr>
    </w:p>
    <w:p>
      <w:pPr>
        <w:spacing w:before="60" w:after="60"/>
      </w:pPr>
      <w:r>
        <w:rPr>
          <w:rFonts w:ascii="Arial" w:cs="Arial" w:eastAsia="Arial" w:hAnsi="Arial"/>
          <w:i/>
          <w:iCs/>
          <w:color w:val="64748B"/>
          <w:sz w:val="18"/>
          <w:szCs w:val="18"/>
        </w:rPr>
        <w:t xml:space="preserve">Lichtblauw gemarkeerde rijen maken deel uit van de centrale pipeline-as.</w:t>
      </w:r>
    </w:p>
    <w:p>
      <w:pPr>
        <w:spacing w:before="200" w:after="0"/>
      </w:pPr>
    </w:p>
    <w:p>
      <w:pPr>
        <w:pStyle w:val="Heading1"/>
        <w:spacing w:before="200" w:after="160"/>
      </w:pPr>
      <w:r>
        <w:rPr>
          <w:rFonts w:ascii="Arial" w:cs="Arial" w:eastAsia="Arial" w:hAnsi="Arial"/>
          <w:b/>
          <w:bCs/>
          <w:color w:val="1B2A4A"/>
          <w:sz w:val="32"/>
          <w:szCs w:val="32"/>
        </w:rPr>
        <w:t xml:space="preserve">4. Volgende stappen</w:t>
      </w:r>
    </w:p>
    <w:p>
      <w:pPr>
        <w:pStyle w:val="ListParagraph"/>
        <w:numPr>
          <w:ilvl w:val="0"/>
          <w:numId w:val="2"/>
        </w:numPr>
        <w:spacing w:before="60" w:after="60"/>
      </w:pPr>
      <w:r>
        <w:rPr>
          <w:rFonts w:ascii="Arial" w:cs="Arial" w:eastAsia="Arial" w:hAnsi="Arial"/>
          <w:sz w:val="20"/>
          <w:szCs w:val="20"/>
        </w:rPr>
        <w:t xml:space="preserve">Volledige veldspecificatie per tabel — inclusief datatypes, constraints, nullable-regels en default-waarden.</w:t>
      </w:r>
    </w:p>
    <w:p>
      <w:pPr>
        <w:pStyle w:val="ListParagraph"/>
        <w:numPr>
          <w:ilvl w:val="0"/>
          <w:numId w:val="2"/>
        </w:numPr>
        <w:spacing w:before="60" w:after="60"/>
      </w:pPr>
      <w:r>
        <w:rPr>
          <w:rFonts w:ascii="Arial" w:cs="Arial" w:eastAsia="Arial" w:hAnsi="Arial"/>
          <w:sz w:val="20"/>
          <w:szCs w:val="20"/>
        </w:rPr>
        <w:t xml:space="preserve">Index-strategie bepalen — met name voor canonical_records, validation_results en audit_events (hoge schrijffrequentie).</w:t>
      </w:r>
    </w:p>
    <w:p>
      <w:pPr>
        <w:pStyle w:val="ListParagraph"/>
        <w:numPr>
          <w:ilvl w:val="0"/>
          <w:numId w:val="2"/>
        </w:numPr>
        <w:spacing w:before="60" w:after="60"/>
      </w:pPr>
      <w:r>
        <w:rPr>
          <w:rFonts w:ascii="Arial" w:cs="Arial" w:eastAsia="Arial" w:hAnsi="Arial"/>
          <w:sz w:val="20"/>
          <w:szCs w:val="20"/>
        </w:rPr>
        <w:t xml:space="preserve">Row-level security policies uitwerken — per tenant_id voor alle compliance-tabellen.</w:t>
      </w:r>
    </w:p>
    <w:p>
      <w:pPr>
        <w:pStyle w:val="ListParagraph"/>
        <w:numPr>
          <w:ilvl w:val="0"/>
          <w:numId w:val="2"/>
        </w:numPr>
        <w:spacing w:before="60" w:after="60"/>
      </w:pPr>
      <w:r>
        <w:rPr>
          <w:rFonts w:ascii="Arial" w:cs="Arial" w:eastAsia="Arial" w:hAnsi="Arial"/>
          <w:sz w:val="20"/>
          <w:szCs w:val="20"/>
        </w:rPr>
        <w:t xml:space="preserve">Partitioneringsstrategie voor audit_events en field_provenance_history — op basis van event_timestamp voor de 10-jaar retentie.</w:t>
      </w:r>
    </w:p>
    <w:p>
      <w:pPr>
        <w:pStyle w:val="ListParagraph"/>
        <w:numPr>
          <w:ilvl w:val="0"/>
          <w:numId w:val="2"/>
        </w:numPr>
        <w:spacing w:before="60" w:after="60"/>
      </w:pPr>
      <w:r>
        <w:rPr>
          <w:rFonts w:ascii="Arial" w:cs="Arial" w:eastAsia="Arial" w:hAnsi="Arial"/>
          <w:sz w:val="20"/>
          <w:szCs w:val="20"/>
        </w:rPr>
        <w:t xml:space="preserve">API-contracten koppelen aan tabelstructuur — OpenAPI schema moet 1:1 overeenkomen met het canonieke datamodel.</w:t>
      </w:r>
    </w:p>
    <w:p>
      <w:pPr>
        <w:pStyle w:val="ListParagraph"/>
        <w:numPr>
          <w:ilvl w:val="0"/>
          <w:numId w:val="2"/>
        </w:numPr>
        <w:spacing w:before="60" w:after="60"/>
      </w:pPr>
      <w:r>
        <w:rPr>
          <w:rFonts w:ascii="Arial" w:cs="Arial" w:eastAsia="Arial" w:hAnsi="Arial"/>
          <w:sz w:val="20"/>
          <w:szCs w:val="20"/>
        </w:rPr>
        <w:t xml:space="preserve">AIFMD Annex IV velden uitwerken in canonical_records — veldnamen 1:1 映射naar AIFMD XSD-veldcodes (AIFMD_DATMAN_V1_2.xsd).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spacing w:before="80" w:after="0"/>
      <w:jc w:val="right"/>
    </w:pPr>
    <w:r>
      <w:rPr>
        <w:rFonts w:ascii="Arial" w:cs="Arial" w:eastAsia="Arial" w:hAnsi="Arial"/>
        <w:color w:val="64748B"/>
        <w:sz w:val="16"/>
        <w:szCs w:val="16"/>
      </w:rPr>
      <w:t xml:space="preserve">Pagina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pBdr>
      <w:spacing w:before="0" w:after="120"/>
    </w:pPr>
    <w:r>
      <w:rPr>
        <w:rFonts w:ascii="Arial" w:cs="Arial" w:eastAsia="Arial" w:hAnsi="Arial"/>
        <w:color w:val="64748B"/>
        <w:sz w:val="16"/>
        <w:szCs w:val="16"/>
      </w:rPr>
      <w:t xml:space="preserve">Project Eagle  —  Database Schema Overzicht</w:t>
    </w:r>
    <w:r>
      <w:rPr>
        <w:rFonts w:ascii="Arial" w:cs="Arial" w:eastAsia="Arial" w:hAnsi="Arial"/>
        <w:color w:val="64748B"/>
        <w:sz w:val="16"/>
        <w:szCs w:val="16"/>
      </w:rPr>
      <w:t xml:space="preserve">    |    v1.0 baseline  ·  2026-03-23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B2A4A"/>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2026-03-24T08:16:53.946Z</dcterms:created>
  <dcterms:modified xsi:type="dcterms:W3CDTF">2026-03-24T08:16:53.948Z</dcterms:modified>
</cp:coreProperties>
</file>

<file path=docProps/custom.xml><?xml version="1.0" encoding="utf-8"?>
<Properties xmlns="http://schemas.openxmlformats.org/officeDocument/2006/custom-properties" xmlns:vt="http://schemas.openxmlformats.org/officeDocument/2006/docPropsVTypes"/>
</file>