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p>
    <w:p>
      <w:pPr>
        <w:spacing w:before="0" w:after="120"/>
        <w:jc w:val="center"/>
      </w:pPr>
      <w:r>
        <w:rPr>
          <w:rFonts w:ascii="Arial" w:cs="Arial" w:eastAsia="Arial" w:hAnsi="Arial"/>
          <w:b/>
          <w:bCs/>
          <w:color w:val="4A235A"/>
          <w:sz w:val="56"/>
          <w:szCs w:val="56"/>
        </w:rPr>
        <w:t xml:space="preserve">PROJECT EAGLE</w:t>
      </w:r>
    </w:p>
    <w:p>
      <w:pPr>
        <w:spacing w:before="0" w:after="80"/>
        <w:jc w:val="center"/>
      </w:pPr>
      <w:r>
        <w:rPr>
          <w:rFonts w:ascii="Arial" w:cs="Arial" w:eastAsia="Arial" w:hAnsi="Arial"/>
          <w:color w:val="4A235A"/>
          <w:sz w:val="38"/>
          <w:szCs w:val="38"/>
        </w:rPr>
        <w:t xml:space="preserve">Company Compliance</w:t>
      </w:r>
    </w:p>
    <w:p>
      <w:pPr>
        <w:spacing w:before="0" w:after="80"/>
        <w:jc w:val="center"/>
      </w:pPr>
      <w:r>
        <w:rPr>
          <w:rFonts w:ascii="Arial" w:cs="Arial" w:eastAsia="Arial" w:hAnsi="Arial"/>
          <w:i/>
          <w:iCs/>
          <w:color w:val="595959"/>
          <w:sz w:val="22"/>
          <w:szCs w:val="22"/>
        </w:rPr>
        <w:t xml:space="preserve">Regulatory obligations on Eagle B.V. as a Dutch legal entity, with internal governance and certification roadmap</w:t>
      </w:r>
    </w:p>
    <w:p>
      <w:pPr>
        <w:spacing w:before="0" w:after="160"/>
        <w:jc w:val="center"/>
      </w:pPr>
      <w:r>
        <w:rPr>
          <w:rFonts w:ascii="Arial" w:cs="Arial" w:eastAsia="Arial" w:hAnsi="Arial"/>
          <w:color w:val="595959"/>
          <w:sz w:val="22"/>
          <w:szCs w:val="22"/>
        </w:rPr>
        <w:t xml:space="preserve">Version 2.0  |  March 2026  |  Confidential</w:t>
      </w:r>
    </w:p>
    <w:p>
      <w:pPr>
        <w:pBdr>
          <w:bottom w:val="single" w:color="CCCCCC" w:sz="2" w:space="4"/>
        </w:pBdr>
        <w:spacing w:before="80"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BBBBBB" w:sz="1"/>
              <w:left w:val="single" w:color="BBBBBB" w:sz="1"/>
              <w:bottom w:val="single" w:color="BBBBBB" w:sz="1"/>
              <w:right w:val="single" w:color="BBBBBB" w:sz="1"/>
            </w:tcBorders>
            <w:shd w:fill="4A235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Parameter</w:t>
            </w:r>
          </w:p>
        </w:tc>
        <w:tc>
          <w:tcPr>
            <w:tcW w:type="dxa" w:w="6200"/>
            <w:tcBorders>
              <w:top w:val="single" w:color="BBBBBB" w:sz="1"/>
              <w:left w:val="single" w:color="BBBBBB" w:sz="1"/>
              <w:bottom w:val="single" w:color="BBBBBB" w:sz="1"/>
              <w:right w:val="single" w:color="BBBBBB" w:sz="1"/>
            </w:tcBorders>
            <w:shd w:fill="4A235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Details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Legal entity</w:t>
            </w:r>
          </w:p>
        </w:tc>
        <w:tc>
          <w:tcPr>
            <w:tcW w:type="dxa" w:w="6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Project Eagle B.V. — Netherlands</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Incorporation</w:t>
            </w:r>
          </w:p>
        </w:tc>
        <w:tc>
          <w:tcPr>
            <w:tcW w:type="dxa" w:w="6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Dutch Besloten Vennootschap (BV)</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Supervisory authority</w:t>
            </w:r>
          </w:p>
        </w:tc>
        <w:tc>
          <w:tcPr>
            <w:tcW w:type="dxa" w:w="6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AFM (financial markets) · AP (data protection) · NCCb/NCSC (cybersecurity)</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Personal data categories</w:t>
            </w:r>
          </w:p>
        </w:tc>
        <w:tc>
          <w:tcPr>
            <w:tcW w:type="dxa" w:w="6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Employee HR data · Contractor invoicing data · CRM client contact data</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AI model</w:t>
            </w:r>
          </w:p>
        </w:tc>
        <w:tc>
          <w:tcPr>
            <w:tcW w:type="dxa" w:w="6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Anthropic — Claude API (as sub-processor)</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Document scope</w:t>
            </w:r>
          </w:p>
        </w:tc>
        <w:tc>
          <w:tcPr>
            <w:tcW w:type="dxa" w:w="6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Obligations on the entity — not on the product or service</w:t>
            </w:r>
          </w:p>
        </w:tc>
      </w:tr>
    </w:tbl>
    <w:p>
      <w:pPr>
        <w:spacing w:before="80" w:after="0"/>
      </w:pPr>
    </w:p>
    <w:tbl>
      <w:tblPr>
        <w:tblW w:type="dxa" w:w="9200"/>
        <w:tblBorders>
          <w:top w:val="none"/>
          <w:left w:val="none"/>
          <w:bottom w:val="none"/>
          <w:right w:val="none"/>
          <w:insideH w:val="single" w:color="auto" w:sz="4"/>
          <w:insideV w:val="single" w:color="auto" w:sz="4"/>
        </w:tblBorders>
      </w:tblPr>
      <w:tblGrid>
        <w:gridCol w:w="180"/>
        <w:gridCol w:w="9020"/>
      </w:tblGrid>
      <w:tr>
        <w:tc>
          <w:tcPr>
            <w:tcW w:type="dxa" w:w="180"/>
            <w:tcBorders>
              <w:top w:val="none"/>
              <w:left w:val="single" w:color="C00000" w:sz="18"/>
              <w:bottom w:val="none"/>
              <w:right w:val="none"/>
            </w:tcBorders>
            <w:shd w:fill="FADADD" w:val="clear"/>
            <w:tcMar>
              <w:top w:type="dxa" w:w="80"/>
              <w:left w:type="dxa" w:w="160"/>
              <w:bottom w:type="dxa" w:w="80"/>
              <w:right w:type="dxa" w:w="80"/>
            </w:tcMar>
          </w:tcPr>
          <w:p/>
        </w:tc>
        <w:tc>
          <w:tcPr>
            <w:tcW w:type="dxa" w:w="9020"/>
            <w:tcBorders>
              <w:top w:val="single" w:color="BBBBBB" w:sz="1"/>
              <w:left w:val="single" w:color="BBBBBB" w:sz="1"/>
              <w:bottom w:val="single" w:color="BBBBBB" w:sz="1"/>
              <w:right w:val="single" w:color="BBBBBB" w:sz="1"/>
            </w:tcBorders>
            <w:shd w:fill="FADADD" w:val="clear"/>
            <w:tcMar>
              <w:top w:type="dxa" w:w="100"/>
              <w:left w:type="dxa" w:w="160"/>
              <w:bottom w:type="dxa" w:w="100"/>
              <w:right w:type="dxa" w:w="160"/>
            </w:tcMar>
          </w:tcPr>
          <w:p>
            <w:pPr>
              <w:spacing w:before="0" w:after="0"/>
            </w:pPr>
            <w:r>
              <w:rPr>
                <w:rFonts w:ascii="Arial" w:cs="Arial" w:eastAsia="Arial" w:hAnsi="Arial"/>
                <w:color w:val="000000"/>
                <w:sz w:val="21"/>
                <w:szCs w:val="21"/>
              </w:rPr>
              <w:t xml:space="preserve">THREE PRE-LAUNCH CRITICAL ITEMS: (1) Formal legal opinion on Wft/AFM licensing and registration status — Section 3. (2) Execute Anthropic DPA with SCCs and Transfer Impact Assessment — Section 4. (3) Establish GDPR Record of Processing Activities and controller obligations before first employee or client contact is processed — Section 4.</w:t>
            </w:r>
          </w:p>
        </w:tc>
      </w:tr>
    </w:tbl>
    <w:p>
      <w:r>
        <w:br w:type="page"/>
      </w:r>
    </w:p>
    <w:p>
      <w:pPr>
        <w:pStyle w:val="Heading1"/>
        <w:pBdr>
          <w:bottom w:val="single" w:color="2E5FA3" w:sz="6" w:space="4"/>
        </w:pBdr>
        <w:spacing w:before="360" w:after="120"/>
      </w:pPr>
      <w:r>
        <w:rPr>
          <w:rFonts w:ascii="Arial" w:cs="Arial" w:eastAsia="Arial" w:hAnsi="Arial"/>
          <w:b/>
          <w:bCs/>
          <w:color w:val="4A235A"/>
          <w:sz w:val="32"/>
          <w:szCs w:val="32"/>
        </w:rPr>
        <w:t xml:space="preserve">1.  How to Read This Document</w:t>
      </w:r>
    </w:p>
    <w:p>
      <w:pPr>
        <w:spacing w:before="40" w:after="40"/>
      </w:pPr>
      <w:r>
        <w:rPr>
          <w:rFonts w:ascii="Arial" w:cs="Arial" w:eastAsia="Arial" w:hAnsi="Arial"/>
          <w:color w:val="000000"/>
          <w:sz w:val="22"/>
          <w:szCs w:val="22"/>
        </w:rPr>
        <w:t xml:space="preserve">This document covers every legal and regulatory obligation that attaches to Project Eagle B.V. as a Dutch legal entity — independent of the product it delivers. It is structured in three layers: legal status and licensing (what Eagle is allowed to do), data protection (how Eagle handles personal data it controls), and operational compliance (how Eagle governs itself as an entity). The certification roadmap is included here because it is an entity-level commitment owned by the Head of Compliance.</w:t>
      </w:r>
    </w:p>
    <w:p>
      <w:pPr>
        <w:spacing w:before="8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600"/>
      </w:tblGrid>
      <w:tr>
        <w:trPr>
          <w:tblHeader/>
        </w:trPr>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Priority</w:t>
            </w:r>
          </w:p>
        </w:tc>
        <w:tc>
          <w:tcPr>
            <w:tcW w:type="dxa" w:w="5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Meaning</w:t>
            </w:r>
          </w:p>
        </w:tc>
        <w:tc>
          <w:tcPr>
            <w:tcW w:type="dxa" w:w="2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Timing</w:t>
            </w:r>
          </w:p>
        </w:tc>
      </w:tr>
      <w:tr>
        <w:tc>
          <w:tcPr>
            <w:tcW w:type="dxa" w:w="12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c>
          <w:tcPr>
            <w:tcW w:type="dxa" w:w="5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Non-negotiable. Non-compliance is a legal violation or a pre-launch blocker.</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Pre-launch or immediately</w:t>
            </w:r>
          </w:p>
        </w:tc>
      </w:tr>
      <w:tr>
        <w:tc>
          <w:tcPr>
            <w:tcW w:type="dxa" w:w="1200"/>
            <w:tcBorders>
              <w:top w:val="single" w:color="BBBBBB" w:sz="1"/>
              <w:left w:val="single" w:color="BBBBBB" w:sz="1"/>
              <w:bottom w:val="single" w:color="BBBBBB" w:sz="1"/>
              <w:right w:val="single" w:color="BBBBBB" w:sz="1"/>
            </w:tcBorders>
            <w:shd w:fill="A0522D"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SHOULD</w:t>
            </w:r>
          </w:p>
        </w:tc>
        <w:tc>
          <w:tcPr>
            <w:tcW w:type="dxa" w:w="5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Important. High risk if deferred.</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Phase 1 (within 6 months)</w:t>
            </w:r>
          </w:p>
        </w:tc>
      </w:tr>
      <w:tr>
        <w:tc>
          <w:tcPr>
            <w:tcW w:type="dxa" w:w="1200"/>
            <w:tcBorders>
              <w:top w:val="single" w:color="BBBBBB" w:sz="1"/>
              <w:left w:val="single" w:color="BBBBBB" w:sz="1"/>
              <w:bottom w:val="single" w:color="BBBBBB" w:sz="1"/>
              <w:right w:val="single" w:color="BBBBBB" w:sz="1"/>
            </w:tcBorders>
            <w:shd w:fill="005F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COULD</w:t>
            </w:r>
          </w:p>
        </w:tc>
        <w:tc>
          <w:tcPr>
            <w:tcW w:type="dxa" w:w="5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Beneficial. Acceptable to defer without immediate legal harm.</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Phase 2</w:t>
            </w:r>
          </w:p>
        </w:tc>
      </w:tr>
      <w:tr>
        <w:tc>
          <w:tcPr>
            <w:tcW w:type="dxa" w:w="1200"/>
            <w:tcBorders>
              <w:top w:val="single" w:color="BBBBBB" w:sz="1"/>
              <w:left w:val="single" w:color="BBBBBB" w:sz="1"/>
              <w:bottom w:val="single" w:color="BBBBBB" w:sz="1"/>
              <w:right w:val="single" w:color="BBBBBB" w:sz="1"/>
            </w:tcBorders>
            <w:shd w:fill="595959"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WON'T</w:t>
            </w:r>
          </w:p>
        </w:tc>
        <w:tc>
          <w:tcPr>
            <w:tcW w:type="dxa" w:w="5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Out of scope now. Documented for future reference.</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Not applicable</w:t>
            </w:r>
          </w:p>
        </w:tc>
      </w:tr>
    </w:tbl>
    <w:p>
      <w:pPr>
        <w:spacing w:before="80" w:after="0"/>
      </w:pPr>
    </w:p>
    <w:p>
      <w:pPr>
        <w:pStyle w:val="Heading1"/>
        <w:pBdr>
          <w:bottom w:val="single" w:color="2E5FA3" w:sz="6" w:space="4"/>
        </w:pBdr>
        <w:spacing w:before="360" w:after="120"/>
      </w:pPr>
      <w:r>
        <w:rPr>
          <w:rFonts w:ascii="Arial" w:cs="Arial" w:eastAsia="Arial" w:hAnsi="Arial"/>
          <w:b/>
          <w:bCs/>
          <w:color w:val="4A235A"/>
          <w:sz w:val="32"/>
          <w:szCs w:val="32"/>
        </w:rPr>
        <w:t xml:space="preserve">2.  Company Regulatory Landscape —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800"/>
        <w:gridCol w:w="1600"/>
      </w:tblGrid>
      <w:tr>
        <w:trPr>
          <w:tblHeader/>
        </w:trPr>
        <w:tc>
          <w:tcPr>
            <w:tcW w:type="dxa" w:w="3200"/>
            <w:tcBorders>
              <w:top w:val="single" w:color="BBBBBB" w:sz="1"/>
              <w:left w:val="single" w:color="BBBBBB" w:sz="1"/>
              <w:bottom w:val="single" w:color="BBBBBB" w:sz="1"/>
              <w:right w:val="single" w:color="BBBBBB" w:sz="1"/>
            </w:tcBorders>
            <w:shd w:fill="4A235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Framework</w:t>
            </w:r>
          </w:p>
        </w:tc>
        <w:tc>
          <w:tcPr>
            <w:tcW w:type="dxa" w:w="1600"/>
            <w:tcBorders>
              <w:top w:val="single" w:color="BBBBBB" w:sz="1"/>
              <w:left w:val="single" w:color="BBBBBB" w:sz="1"/>
              <w:bottom w:val="single" w:color="BBBBBB" w:sz="1"/>
              <w:right w:val="single" w:color="BBBBBB" w:sz="1"/>
            </w:tcBorders>
            <w:shd w:fill="4A235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Nature</w:t>
            </w:r>
          </w:p>
        </w:tc>
        <w:tc>
          <w:tcPr>
            <w:tcW w:type="dxa" w:w="2800"/>
            <w:tcBorders>
              <w:top w:val="single" w:color="BBBBBB" w:sz="1"/>
              <w:left w:val="single" w:color="BBBBBB" w:sz="1"/>
              <w:bottom w:val="single" w:color="BBBBBB" w:sz="1"/>
              <w:right w:val="single" w:color="BBBBBB" w:sz="1"/>
            </w:tcBorders>
            <w:shd w:fill="4A235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Applies Because</w:t>
            </w:r>
          </w:p>
        </w:tc>
        <w:tc>
          <w:tcPr>
            <w:tcW w:type="dxa" w:w="1600"/>
            <w:tcBorders>
              <w:top w:val="single" w:color="BBBBBB" w:sz="1"/>
              <w:left w:val="single" w:color="BBBBBB" w:sz="1"/>
              <w:bottom w:val="single" w:color="BBBBBB" w:sz="1"/>
              <w:right w:val="single" w:color="BBBBBB" w:sz="1"/>
            </w:tcBorders>
            <w:shd w:fill="4A235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MoSCoW</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Wft + AFM/DNB licensing analysis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Dutch financial law</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Eagle is a Dutch entity serving licensed AIFMs. Licensing status unconfirmed.</w:t>
            </w:r>
          </w:p>
        </w:tc>
        <w:tc>
          <w:tcPr>
            <w:tcW w:type="dxa" w:w="16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GDPR (2016/679/EU) — controller role</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EU Regulation</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Eagle processes personal data of employees, contractors and CRM contacts.</w:t>
            </w:r>
          </w:p>
        </w:tc>
        <w:tc>
          <w:tcPr>
            <w:tcW w:type="dxa" w:w="16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Dutch UAVG</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National law</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Dutch GDPR implementation. AP is the lead supervisory authority.</w:t>
            </w:r>
          </w:p>
        </w:tc>
        <w:tc>
          <w:tcPr>
            <w:tcW w:type="dxa" w:w="16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EU AI Act — entity obligations</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EU Regulation</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Eagle deploys Claude (GPAI model). Deployer documentation obligations apply.</w:t>
            </w:r>
          </w:p>
        </w:tc>
        <w:tc>
          <w:tcPr>
            <w:tcW w:type="dxa" w:w="16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NIS2 / Dutch Cyberbeveiligingswet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EU Directive / Dutch law</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Eagle is a digital service provider to the financial sector.</w:t>
            </w:r>
          </w:p>
        </w:tc>
        <w:tc>
          <w:tcPr>
            <w:tcW w:type="dxa" w:w="1600"/>
            <w:tcBorders>
              <w:top w:val="single" w:color="BBBBBB" w:sz="1"/>
              <w:left w:val="single" w:color="BBBBBB" w:sz="1"/>
              <w:bottom w:val="single" w:color="BBBBBB" w:sz="1"/>
              <w:right w:val="single" w:color="BBBBBB" w:sz="1"/>
            </w:tcBorders>
            <w:shd w:fill="A0522D"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SHOULD</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AFM/DNB AI supervisory expectations</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Dutch supervisory guidance</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Eagle is Dutch-registered. AFM may scrutinise AI tools used by its supervised clients.</w:t>
            </w:r>
          </w:p>
        </w:tc>
        <w:tc>
          <w:tcPr>
            <w:tcW w:type="dxa" w:w="1600"/>
            <w:tcBorders>
              <w:top w:val="single" w:color="BBBBBB" w:sz="1"/>
              <w:left w:val="single" w:color="BBBBBB" w:sz="1"/>
              <w:bottom w:val="single" w:color="BBBBBB" w:sz="1"/>
              <w:right w:val="single" w:color="BBBBBB" w:sz="1"/>
            </w:tcBorders>
            <w:shd w:fill="A0522D"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SHOULD</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ISO 27001</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International standard</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Internal ISMS framework. Foundation for ISAE 3402 and NIS2 compliance.</w:t>
            </w:r>
          </w:p>
        </w:tc>
        <w:tc>
          <w:tcPr>
            <w:tcW w:type="dxa" w:w="16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ISAE 3402 — certification programme</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Professional assurance standard</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Commercial requirement — already in prospect RFPs.</w:t>
            </w:r>
          </w:p>
        </w:tc>
        <w:tc>
          <w:tcPr>
            <w:tcW w:type="dxa" w:w="16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DORA — indirect exposure and CTPP risk</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EU Regulation</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Eagle operates within the ICT supply chain of DORA-regulated AIFMs.</w:t>
            </w:r>
          </w:p>
        </w:tc>
        <w:tc>
          <w:tcPr>
            <w:tcW w:type="dxa" w:w="1600"/>
            <w:tcBorders>
              <w:top w:val="single" w:color="BBBBBB" w:sz="1"/>
              <w:left w:val="single" w:color="BBBBBB" w:sz="1"/>
              <w:bottom w:val="single" w:color="BBBBBB" w:sz="1"/>
              <w:right w:val="single" w:color="BBBBBB" w:sz="1"/>
            </w:tcBorders>
            <w:shd w:fill="A0522D"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SHOULD</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Employment law (BW + UAVG Art. 27)</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Dutch civil + privacy law</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Eagle employs staff. Works council considerations at 50+ FTE.</w:t>
            </w:r>
          </w:p>
        </w:tc>
        <w:tc>
          <w:tcPr>
            <w:tcW w:type="dxa" w:w="1600"/>
            <w:tcBorders>
              <w:top w:val="single" w:color="BBBBBB" w:sz="1"/>
              <w:left w:val="single" w:color="BBBBBB" w:sz="1"/>
              <w:bottom w:val="single" w:color="BBBBBB" w:sz="1"/>
              <w:right w:val="single" w:color="BBBBBB" w:sz="1"/>
            </w:tcBorders>
            <w:shd w:fill="A0522D"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SHOULD</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UK GDPR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UK retained EU law</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CRM contacts include UK nationals at non-EU client organisations.</w:t>
            </w:r>
          </w:p>
        </w:tc>
        <w:tc>
          <w:tcPr>
            <w:tcW w:type="dxa" w:w="1600"/>
            <w:tcBorders>
              <w:top w:val="single" w:color="BBBBBB" w:sz="1"/>
              <w:left w:val="single" w:color="BBBBBB" w:sz="1"/>
              <w:bottom w:val="single" w:color="BBBBBB" w:sz="1"/>
              <w:right w:val="single" w:color="BBBBBB" w:sz="1"/>
            </w:tcBorders>
            <w:shd w:fill="A0522D"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SHOULD</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CCPA/CPRA (California)</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US state law</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CRM contacts may include California residents at US client organisations.</w:t>
            </w:r>
          </w:p>
        </w:tc>
        <w:tc>
          <w:tcPr>
            <w:tcW w:type="dxa" w:w="1600"/>
            <w:tcBorders>
              <w:top w:val="single" w:color="BBBBBB" w:sz="1"/>
              <w:left w:val="single" w:color="BBBBBB" w:sz="1"/>
              <w:bottom w:val="single" w:color="BBBBBB" w:sz="1"/>
              <w:right w:val="single" w:color="BBBBBB" w:sz="1"/>
            </w:tcBorders>
            <w:shd w:fill="A0522D"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SHOULD</w:t>
            </w:r>
          </w:p>
        </w:tc>
      </w:tr>
    </w:tbl>
    <w:p>
      <w:pPr>
        <w:spacing w:before="80" w:after="0"/>
      </w:pPr>
    </w:p>
    <w:p>
      <w:pPr>
        <w:pStyle w:val="Heading1"/>
        <w:pBdr>
          <w:bottom w:val="single" w:color="2E5FA3" w:sz="6" w:space="4"/>
        </w:pBdr>
        <w:spacing w:before="360" w:after="120"/>
      </w:pPr>
      <w:r>
        <w:rPr>
          <w:rFonts w:ascii="Arial" w:cs="Arial" w:eastAsia="Arial" w:hAnsi="Arial"/>
          <w:b/>
          <w:bCs/>
          <w:color w:val="4A235A"/>
          <w:sz w:val="32"/>
          <w:szCs w:val="32"/>
        </w:rPr>
        <w:t xml:space="preserve">3.  Licensing and Authorisation — AFM / Wft</w:t>
      </w:r>
    </w:p>
    <w:tbl>
      <w:tblPr>
        <w:tblW w:type="dxa" w:w="9200"/>
        <w:tblBorders>
          <w:top w:val="none"/>
          <w:left w:val="none"/>
          <w:bottom w:val="none"/>
          <w:right w:val="none"/>
          <w:insideH w:val="single" w:color="auto" w:sz="4"/>
          <w:insideV w:val="single" w:color="auto" w:sz="4"/>
        </w:tblBorders>
      </w:tblPr>
      <w:tblGrid>
        <w:gridCol w:w="180"/>
        <w:gridCol w:w="9020"/>
      </w:tblGrid>
      <w:tr>
        <w:tc>
          <w:tcPr>
            <w:tcW w:type="dxa" w:w="180"/>
            <w:tcBorders>
              <w:top w:val="none"/>
              <w:left w:val="single" w:color="C00000" w:sz="18"/>
              <w:bottom w:val="none"/>
              <w:right w:val="none"/>
            </w:tcBorders>
            <w:shd w:fill="FADADD" w:val="clear"/>
            <w:tcMar>
              <w:top w:type="dxa" w:w="80"/>
              <w:left w:type="dxa" w:w="160"/>
              <w:bottom w:type="dxa" w:w="80"/>
              <w:right w:type="dxa" w:w="80"/>
            </w:tcMar>
          </w:tcPr>
          <w:p/>
        </w:tc>
        <w:tc>
          <w:tcPr>
            <w:tcW w:type="dxa" w:w="9020"/>
            <w:tcBorders>
              <w:top w:val="single" w:color="BBBBBB" w:sz="1"/>
              <w:left w:val="single" w:color="BBBBBB" w:sz="1"/>
              <w:bottom w:val="single" w:color="BBBBBB" w:sz="1"/>
              <w:right w:val="single" w:color="BBBBBB" w:sz="1"/>
            </w:tcBorders>
            <w:shd w:fill="FADADD" w:val="clear"/>
            <w:tcMar>
              <w:top w:type="dxa" w:w="100"/>
              <w:left w:type="dxa" w:w="160"/>
              <w:bottom w:type="dxa" w:w="100"/>
              <w:right w:type="dxa" w:w="160"/>
            </w:tcMar>
          </w:tcPr>
          <w:p>
            <w:pPr>
              <w:spacing w:before="0" w:after="0"/>
            </w:pPr>
            <w:r>
              <w:rPr>
                <w:rFonts w:ascii="Arial" w:cs="Arial" w:eastAsia="Arial" w:hAnsi="Arial"/>
                <w:color w:val="000000"/>
                <w:sz w:val="21"/>
                <w:szCs w:val="21"/>
              </w:rPr>
              <w:t xml:space="preserve">CRITICAL OPEN ITEM: No formal legal opinion has been obtained. The belief that no licence is required may be correct but is unconfirmed. This must be resolved before the first commercial contract is signed.</w:t>
            </w:r>
          </w:p>
        </w:tc>
      </w:tr>
    </w:tbl>
    <w:p>
      <w:pPr>
        <w:spacing w:before="80" w:after="0"/>
      </w:pPr>
    </w:p>
    <w:p>
      <w:pPr>
        <w:spacing w:before="40" w:after="40"/>
      </w:pPr>
      <w:r>
        <w:rPr>
          <w:rFonts w:ascii="Arial" w:cs="Arial" w:eastAsia="Arial" w:hAnsi="Arial"/>
          <w:color w:val="000000"/>
          <w:sz w:val="22"/>
          <w:szCs w:val="22"/>
        </w:rPr>
        <w:t xml:space="preserve">The relevant question is whether Eagle's activity of processing Annex IV regulatory reports on behalf of licensed AIFMs, using AI, constitutes a regulated activity under the Wft or any transposed EU directive.</w:t>
      </w:r>
    </w:p>
    <w:p>
      <w:pPr>
        <w:spacing w:before="80" w:after="0"/>
      </w:pPr>
    </w:p>
    <w:p>
      <w:pPr>
        <w:pStyle w:val="Heading2"/>
        <w:spacing w:before="280" w:after="80"/>
      </w:pPr>
      <w:r>
        <w:rPr>
          <w:rFonts w:ascii="Arial" w:cs="Arial" w:eastAsia="Arial" w:hAnsi="Arial"/>
          <w:b/>
          <w:bCs/>
          <w:color w:val="2E5FA3"/>
          <w:sz w:val="26"/>
          <w:szCs w:val="26"/>
        </w:rPr>
        <w:t xml:space="preserve">3.1  Licensing Analysis by Category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000"/>
      </w:tblGrid>
      <w:tr>
        <w:trPr>
          <w:tblHeader/>
        </w:trPr>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Potential Requirement</w:t>
            </w:r>
          </w:p>
        </w:tc>
        <w:tc>
          <w:tcPr>
            <w:tcW w:type="dxa" w:w="4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Analysis</w:t>
            </w:r>
          </w:p>
        </w:tc>
        <w:tc>
          <w:tcPr>
            <w:tcW w:type="dxa" w:w="3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Preliminary Conclusion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AIFMD authorisation (Art. 6)</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Eagle does not manage AIFs or take investment decisions on behalf of clients.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Not required.</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MiFID II investment firm / ancillary service</w:t>
            </w:r>
          </w:p>
        </w:tc>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Regulatory reporting data processing does not constitute a MiFID II service.</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Not required.</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Data Reporting Service Provider (DRSP)</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DRSPs provide ARMs/APAs for MiFIR transaction reporting. Annex IV is AIFMD, not MiFIR.</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Not required.</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Wft Art. 2:67 — financial service provision</w:t>
            </w:r>
          </w:p>
        </w:tc>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Pure software/data processing is generally not a regulated financial service, but the boundary is not always clear when the output directly enables regulatory compliance by licensed entities.</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Uncertain — legal opinion required.</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AFM registration / notification obligation</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The AFM maintains registers of certain non-licensed parties providing services to its supervised entities. Applicability to Eagle is unclear.</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To be confirmed by legal opinion.</w:t>
            </w:r>
          </w:p>
        </w:tc>
      </w:tr>
    </w:tbl>
    <w:p>
      <w:pPr>
        <w:spacing w:before="80" w:after="0"/>
      </w:pPr>
    </w:p>
    <w:p>
      <w:pPr>
        <w:pStyle w:val="Heading2"/>
        <w:spacing w:before="280" w:after="80"/>
      </w:pPr>
      <w:r>
        <w:rPr>
          <w:rFonts w:ascii="Arial" w:cs="Arial" w:eastAsia="Arial" w:hAnsi="Arial"/>
          <w:b/>
          <w:bCs/>
          <w:color w:val="2E5FA3"/>
          <w:sz w:val="26"/>
          <w:szCs w:val="26"/>
        </w:rPr>
        <w:t xml:space="preserve">3.2  Refined Licensing Risk Position</w:t>
      </w:r>
    </w:p>
    <w:tbl>
      <w:tblPr>
        <w:tblW w:type="dxa" w:w="9200"/>
        <w:tblBorders>
          <w:top w:val="none"/>
          <w:left w:val="none"/>
          <w:bottom w:val="none"/>
          <w:right w:val="none"/>
          <w:insideH w:val="single" w:color="auto" w:sz="4"/>
          <w:insideV w:val="single" w:color="auto" w:sz="4"/>
        </w:tblBorders>
      </w:tblPr>
      <w:tblGrid>
        <w:gridCol w:w="180"/>
        <w:gridCol w:w="9020"/>
      </w:tblGrid>
      <w:tr>
        <w:tc>
          <w:tcPr>
            <w:tcW w:type="dxa" w:w="180"/>
            <w:tcBorders>
              <w:top w:val="none"/>
              <w:left w:val="single" w:color="A0522D" w:sz="18"/>
              <w:bottom w:val="none"/>
              <w:right w:val="none"/>
            </w:tcBorders>
            <w:shd w:fill="FFF2CC" w:val="clear"/>
            <w:tcMar>
              <w:top w:type="dxa" w:w="80"/>
              <w:left w:type="dxa" w:w="160"/>
              <w:bottom w:type="dxa" w:w="80"/>
              <w:right w:type="dxa" w:w="80"/>
            </w:tcMar>
          </w:tcPr>
          <w:p/>
        </w:tc>
        <w:tc>
          <w:tcPr>
            <w:tcW w:type="dxa" w:w="9020"/>
            <w:tcBorders>
              <w:top w:val="single" w:color="BBBBBB" w:sz="1"/>
              <w:left w:val="single" w:color="BBBBBB" w:sz="1"/>
              <w:bottom w:val="single" w:color="BBBBBB" w:sz="1"/>
              <w:right w:val="single" w:color="BBBBBB" w:sz="1"/>
            </w:tcBorders>
            <w:shd w:fill="FFF2CC" w:val="clear"/>
            <w:tcMar>
              <w:top w:type="dxa" w:w="100"/>
              <w:left w:type="dxa" w:w="160"/>
              <w:bottom w:type="dxa" w:w="100"/>
              <w:right w:type="dxa" w:w="160"/>
            </w:tcMar>
          </w:tcPr>
          <w:p>
            <w:pPr>
              <w:spacing w:before="0" w:after="0"/>
            </w:pPr>
            <w:r>
              <w:rPr>
                <w:rFonts w:ascii="Arial" w:cs="Arial" w:eastAsia="Arial" w:hAnsi="Arial"/>
                <w:color w:val="000000"/>
                <w:sz w:val="21"/>
                <w:szCs w:val="21"/>
              </w:rPr>
              <w:t xml:space="preserve">RISK FRAMING: Eagle most likely operates outside the licensing scope of the Wft but within the regulatory perimeter of AIFMD supervision. This distinction matters: Eagle is not a regulated entity, but it functions as a component of regulated entities' compliance infrastructure. This creates an indirect regulatory relationship — through clients — that may attract supervisory interest even without a formal licence requirement. The legal opinion must address both dimensions.</w:t>
            </w:r>
          </w:p>
        </w:tc>
      </w:tr>
    </w:tbl>
    <w:p>
      <w:pPr>
        <w:spacing w:before="80" w:after="0"/>
      </w:pPr>
    </w:p>
    <w:p>
      <w:pPr>
        <w:spacing w:before="40" w:after="40"/>
      </w:pPr>
      <w:r>
        <w:rPr>
          <w:rFonts w:ascii="Arial" w:cs="Arial" w:eastAsia="Arial" w:hAnsi="Arial"/>
          <w:color w:val="000000"/>
          <w:sz w:val="22"/>
          <w:szCs w:val="22"/>
        </w:rPr>
        <w:t xml:space="preserve">Three scenarios and their implications: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00"/>
      </w:tblGrid>
      <w:tr>
        <w:trPr>
          <w:tblHeader/>
        </w:trPr>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Scenario</w:t>
            </w:r>
          </w:p>
        </w:tc>
        <w:tc>
          <w:tcPr>
            <w:tcW w:type="dxa" w:w="1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Likelihood</w:t>
            </w:r>
          </w:p>
        </w:tc>
        <w:tc>
          <w:tcPr>
            <w:tcW w:type="dxa" w:w="5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Implication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No licence required, no registration required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Most likely — pure SaaS data processing services are generally outside Wft scope</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Confirm by legal opinion. No structural changes needed. Document clearly.</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No licence required but AFM notification / registration required</w:t>
            </w:r>
          </w:p>
        </w:tc>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Possible — AFM registers certain fintech service providers to its supervised entities</w:t>
            </w:r>
          </w:p>
        </w:tc>
        <w:tc>
          <w:tcPr>
            <w:tcW w:type="dxa" w:w="5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Register with AFM. Low cost. Provides regulatory certainty and may become a positive trust signal.</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Activity classified as critical outsourced function with enhanced supervisory oversight</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Less likely at launch; risk increases with scale and market concentration</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If this scenario materialises, Eagle must operate with controls aligned to those of its regulated clients. Design already supports this.</w:t>
            </w:r>
          </w:p>
        </w:tc>
      </w:tr>
    </w:tbl>
    <w:p>
      <w:pPr>
        <w:spacing w:before="80" w:after="0"/>
      </w:pPr>
    </w:p>
    <w:tbl>
      <w:tblPr>
        <w:tblW w:type="dxa" w:w="9200"/>
        <w:tblBorders>
          <w:top w:val="none"/>
          <w:left w:val="none"/>
          <w:bottom w:val="none"/>
          <w:right w:val="none"/>
          <w:insideH w:val="single" w:color="auto" w:sz="4"/>
          <w:insideV w:val="single" w:color="auto" w:sz="4"/>
        </w:tblBorders>
      </w:tblPr>
      <w:tblGrid>
        <w:gridCol w:w="180"/>
        <w:gridCol w:w="9020"/>
      </w:tblGrid>
      <w:tr>
        <w:tc>
          <w:tcPr>
            <w:tcW w:type="dxa" w:w="180"/>
            <w:tcBorders>
              <w:top w:val="none"/>
              <w:left w:val="single" w:color="C00000" w:sz="18"/>
              <w:bottom w:val="none"/>
              <w:right w:val="none"/>
            </w:tcBorders>
            <w:shd w:fill="FADADD" w:val="clear"/>
            <w:tcMar>
              <w:top w:type="dxa" w:w="80"/>
              <w:left w:type="dxa" w:w="160"/>
              <w:bottom w:type="dxa" w:w="80"/>
              <w:right w:type="dxa" w:w="80"/>
            </w:tcMar>
          </w:tcPr>
          <w:p/>
        </w:tc>
        <w:tc>
          <w:tcPr>
            <w:tcW w:type="dxa" w:w="9020"/>
            <w:tcBorders>
              <w:top w:val="single" w:color="BBBBBB" w:sz="1"/>
              <w:left w:val="single" w:color="BBBBBB" w:sz="1"/>
              <w:bottom w:val="single" w:color="BBBBBB" w:sz="1"/>
              <w:right w:val="single" w:color="BBBBBB" w:sz="1"/>
            </w:tcBorders>
            <w:shd w:fill="FADADD" w:val="clear"/>
            <w:tcMar>
              <w:top w:type="dxa" w:w="100"/>
              <w:left w:type="dxa" w:w="160"/>
              <w:bottom w:type="dxa" w:w="100"/>
              <w:right w:type="dxa" w:w="160"/>
            </w:tcMar>
          </w:tcPr>
          <w:p>
            <w:pPr>
              <w:spacing w:before="0" w:after="0"/>
            </w:pPr>
            <w:r>
              <w:rPr>
                <w:rFonts w:ascii="Arial" w:cs="Arial" w:eastAsia="Arial" w:hAnsi="Arial"/>
                <w:color w:val="000000"/>
                <w:sz w:val="21"/>
                <w:szCs w:val="21"/>
              </w:rPr>
              <w:t xml:space="preserve">RECOMMENDED ACTION: Engage a Dutch financial regulatory law specialist before the first contract is signed. The opinion should cover: (1) Wft applicability analysis; (2) AFM/DNB registration or notification requirements; (3) whether serving DORA-regulated AIFMs creates any indirect supervisory relationship; (4) AI-related licensing exposure. Estimated cost: EUR 5,000–15,000 for a focused opinion letter.</w:t>
            </w:r>
          </w:p>
        </w:tc>
      </w:tr>
    </w:tbl>
    <w:p>
      <w:pPr>
        <w:spacing w:before="80" w:after="0"/>
      </w:pPr>
    </w:p>
    <w:p>
      <w:pPr>
        <w:pStyle w:val="Heading1"/>
        <w:pBdr>
          <w:bottom w:val="single" w:color="2E5FA3" w:sz="6" w:space="4"/>
        </w:pBdr>
        <w:spacing w:before="360" w:after="120"/>
      </w:pPr>
      <w:r>
        <w:rPr>
          <w:rFonts w:ascii="Arial" w:cs="Arial" w:eastAsia="Arial" w:hAnsi="Arial"/>
          <w:b/>
          <w:bCs/>
          <w:color w:val="4A235A"/>
          <w:sz w:val="32"/>
          <w:szCs w:val="32"/>
        </w:rPr>
        <w:t xml:space="preserve">4.  Data Protection — GDPR and Dutch UAVG</w:t>
      </w:r>
    </w:p>
    <w:p>
      <w:pPr>
        <w:pStyle w:val="Heading2"/>
        <w:spacing w:before="280" w:after="80"/>
      </w:pPr>
      <w:r>
        <w:rPr>
          <w:rFonts w:ascii="Arial" w:cs="Arial" w:eastAsia="Arial" w:hAnsi="Arial"/>
          <w:b/>
          <w:bCs/>
          <w:color w:val="2E5FA3"/>
          <w:sz w:val="26"/>
          <w:szCs w:val="26"/>
        </w:rPr>
        <w:t xml:space="preserve">4.1  Eagle's GDPR Role: Data Controller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00"/>
      </w:tblGrid>
      <w:tr>
        <w:trPr>
          <w:tblHeader/>
        </w:trPr>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Data Domain</w:t>
            </w:r>
          </w:p>
        </w:tc>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Legal Basis</w:t>
            </w:r>
          </w:p>
        </w:tc>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Retention</w:t>
            </w:r>
          </w:p>
        </w:tc>
        <w:tc>
          <w:tcPr>
            <w:tcW w:type="dxa" w:w="31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Key Actions Required</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Employee HR data</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Performance of employment contract (Art. 6(1)(b)); legal obligation (Art. 6(1)(c))</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Duration of employment + minimum statutory period (2 years most HR records; 5 years salary administration per Dutch tax law)</w:t>
            </w:r>
          </w:p>
        </w:tc>
        <w:tc>
          <w:tcPr>
            <w:tcW w:type="dxa" w:w="3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Employment privacy notice; access rights procedure; HR data minimisation policy; works council consideration if monitoring tools deployed</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Contractor invoicing data</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Performance of contract (Art. 6(1)(b)); legal obligation — Dutch tax law (Art. 6(1)(c))</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7 years per Belastingdienst requirements</w:t>
            </w:r>
          </w:p>
        </w:tc>
        <w:tc>
          <w:tcPr>
            <w:tcW w:type="dxa" w:w="3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Retain invoicing records; ensure contractor privacy notice covers data processing</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CRM client contact data (EU)</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Legitimate interests (Art. 6(1)(f)) — managing commercial relationships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Commercially necessary + 2 years post-relationship end; opt-out mechanism</w:t>
            </w:r>
          </w:p>
        </w:tc>
        <w:tc>
          <w:tcPr>
            <w:tcW w:type="dxa" w:w="3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CRM privacy notice; opt-out / deletion process; contact data minimisation</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CRM client contact data (UK)</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Legitimate interests under UK GDPR</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As per EU CRM — UK GDPR mirrors EU GDPR</w:t>
            </w:r>
          </w:p>
        </w:tc>
        <w:tc>
          <w:tcPr>
            <w:tcW w:type="dxa" w:w="3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UK privacy notice addendum; EU-UK transfer adequacy decision — monitor</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CRM client contact data (US — California)</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CCPA/CPRA applies for California residents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As per EU CRM policy</w:t>
            </w:r>
          </w:p>
        </w:tc>
        <w:tc>
          <w:tcPr>
            <w:tcW w:type="dxa" w:w="3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CCPA privacy notice; opt-out of sale/sharing right; annual data mapping</w:t>
            </w:r>
          </w:p>
        </w:tc>
      </w:tr>
    </w:tbl>
    <w:p>
      <w:pPr>
        <w:spacing w:before="80" w:after="0"/>
      </w:pPr>
    </w:p>
    <w:p>
      <w:pPr>
        <w:pStyle w:val="Heading2"/>
        <w:spacing w:before="280" w:after="80"/>
      </w:pPr>
      <w:r>
        <w:rPr>
          <w:rFonts w:ascii="Arial" w:cs="Arial" w:eastAsia="Arial" w:hAnsi="Arial"/>
          <w:b/>
          <w:bCs/>
          <w:color w:val="2E5FA3"/>
          <w:sz w:val="26"/>
          <w:szCs w:val="26"/>
        </w:rPr>
        <w:t xml:space="preserve">4.2  GDPR Qualification — Annex IV Data</w:t>
      </w:r>
    </w:p>
    <w:tbl>
      <w:tblPr>
        <w:tblW w:type="dxa" w:w="9200"/>
        <w:tblBorders>
          <w:top w:val="none"/>
          <w:left w:val="none"/>
          <w:bottom w:val="none"/>
          <w:right w:val="none"/>
          <w:insideH w:val="single" w:color="auto" w:sz="4"/>
          <w:insideV w:val="single" w:color="auto" w:sz="4"/>
        </w:tblBorders>
      </w:tblPr>
      <w:tblGrid>
        <w:gridCol w:w="180"/>
        <w:gridCol w:w="9020"/>
      </w:tblGrid>
      <w:tr>
        <w:tc>
          <w:tcPr>
            <w:tcW w:type="dxa" w:w="180"/>
            <w:tcBorders>
              <w:top w:val="none"/>
              <w:left w:val="single" w:color="2E5FA3" w:sz="18"/>
              <w:bottom w:val="none"/>
              <w:right w:val="none"/>
            </w:tcBorders>
            <w:shd w:fill="D6E4F7" w:val="clear"/>
            <w:tcMar>
              <w:top w:type="dxa" w:w="80"/>
              <w:left w:type="dxa" w:w="160"/>
              <w:bottom w:type="dxa" w:w="80"/>
              <w:right w:type="dxa" w:w="80"/>
            </w:tcMar>
          </w:tcPr>
          <w:p/>
        </w:tc>
        <w:tc>
          <w:tcPr>
            <w:tcW w:type="dxa" w:w="9020"/>
            <w:tcBorders>
              <w:top w:val="single" w:color="BBBBBB" w:sz="1"/>
              <w:left w:val="single" w:color="BBBBBB" w:sz="1"/>
              <w:bottom w:val="single" w:color="BBBBBB" w:sz="1"/>
              <w:right w:val="single" w:color="BBBBBB" w:sz="1"/>
            </w:tcBorders>
            <w:shd w:fill="D6E4F7" w:val="clear"/>
            <w:tcMar>
              <w:top w:type="dxa" w:w="100"/>
              <w:left w:type="dxa" w:w="160"/>
              <w:bottom w:type="dxa" w:w="100"/>
              <w:right w:type="dxa" w:w="160"/>
            </w:tcMar>
          </w:tcPr>
          <w:p>
            <w:pPr>
              <w:spacing w:before="0" w:after="0"/>
            </w:pPr>
            <w:r>
              <w:rPr>
                <w:rFonts w:ascii="Arial" w:cs="Arial" w:eastAsia="Arial" w:hAnsi="Arial"/>
                <w:color w:val="000000"/>
                <w:sz w:val="21"/>
                <w:szCs w:val="21"/>
              </w:rPr>
              <w:t xml:space="preserve">CLARIFICATION: Annex IV report content (fund data, AuM, strategies, leverage, NAV, jurisdictions) is generally not personal data — it relates to legal entities and funds, not natural persons. This is the confirmed position and means GDPR's full data subject rights framework does not apply to Annex IV outputs. However: (1) audit logs and user activity records within the Eagle platform that capture the identity of individuals accessing or approving submissions are personal data and must be handled accordingly; (2) if any named individuals appear in submission metadata (e.g. authorised signatory fields), those fields are personal data; (3) where ambiguity exists about whether a data element is personal data, treat it as personal data and apply the principle of data minimisation.</w:t>
            </w:r>
          </w:p>
        </w:tc>
      </w:tr>
    </w:tbl>
    <w:p>
      <w:pPr>
        <w:spacing w:before="80" w:after="0"/>
      </w:pPr>
    </w:p>
    <w:p>
      <w:pPr>
        <w:pStyle w:val="Heading2"/>
        <w:spacing w:before="280" w:after="80"/>
      </w:pPr>
      <w:r>
        <w:rPr>
          <w:rFonts w:ascii="Arial" w:cs="Arial" w:eastAsia="Arial" w:hAnsi="Arial"/>
          <w:b/>
          <w:bCs/>
          <w:color w:val="2E5FA3"/>
          <w:sz w:val="26"/>
          <w:szCs w:val="26"/>
        </w:rPr>
        <w:t xml:space="preserve">4.3  Record of Processing Activities (RoPA)</w:t>
      </w:r>
    </w:p>
    <w:p>
      <w:pPr>
        <w:pStyle w:val="ListParagraph"/>
        <w:numPr>
          <w:ilvl w:val="0"/>
          <w:numId w:val="2"/>
        </w:numPr>
        <w:spacing w:before="20" w:after="20"/>
      </w:pPr>
      <w:r>
        <w:rPr>
          <w:rFonts w:ascii="Arial" w:cs="Arial" w:eastAsia="Arial" w:hAnsi="Arial"/>
          <w:color w:val="000000"/>
          <w:sz w:val="22"/>
          <w:szCs w:val="22"/>
        </w:rPr>
        <w:t xml:space="preserve">GDPR Art. 30 requires a RoPA from the first day of processing. Mandatory — not a Phase 1 deliverable.</w:t>
      </w:r>
    </w:p>
    <w:p>
      <w:pPr>
        <w:pStyle w:val="ListParagraph"/>
        <w:numPr>
          <w:ilvl w:val="0"/>
          <w:numId w:val="2"/>
        </w:numPr>
        <w:spacing w:before="20" w:after="20"/>
      </w:pPr>
      <w:r>
        <w:rPr>
          <w:rFonts w:ascii="Arial" w:cs="Arial" w:eastAsia="Arial" w:hAnsi="Arial"/>
          <w:color w:val="000000"/>
          <w:sz w:val="22"/>
          <w:szCs w:val="22"/>
        </w:rPr>
        <w:t xml:space="preserve">Must cover: all three personal data domains as controller, plus the processor role (client Annex IV data including any personal data in metadata and audit logs).</w:t>
      </w:r>
    </w:p>
    <w:p>
      <w:pPr>
        <w:pStyle w:val="ListParagraph"/>
        <w:numPr>
          <w:ilvl w:val="0"/>
          <w:numId w:val="2"/>
        </w:numPr>
        <w:spacing w:before="20" w:after="20"/>
      </w:pPr>
      <w:r>
        <w:rPr>
          <w:rFonts w:ascii="Arial" w:cs="Arial" w:eastAsia="Arial" w:hAnsi="Arial"/>
          <w:color w:val="000000"/>
          <w:sz w:val="22"/>
          <w:szCs w:val="22"/>
        </w:rPr>
        <w:t xml:space="preserve">Minimum content: controller name and contact, purposes, data subject categories, recipients, sub-processors (Anthropic, AWS, CRM tool, HR tool, payroll provider), transfer mechanisms, retention periods, security measures.</w:t>
      </w:r>
    </w:p>
    <w:p>
      <w:pPr>
        <w:spacing w:before="80" w:after="0"/>
      </w:pPr>
    </w:p>
    <w:p>
      <w:pPr>
        <w:pStyle w:val="Heading2"/>
        <w:spacing w:before="280" w:after="80"/>
      </w:pPr>
      <w:r>
        <w:rPr>
          <w:rFonts w:ascii="Arial" w:cs="Arial" w:eastAsia="Arial" w:hAnsi="Arial"/>
          <w:b/>
          <w:bCs/>
          <w:color w:val="2E5FA3"/>
          <w:sz w:val="26"/>
          <w:szCs w:val="26"/>
        </w:rPr>
        <w:t xml:space="preserve">4.4  Anthropic as Sub-Processor — Critical Analysis</w:t>
      </w:r>
    </w:p>
    <w:tbl>
      <w:tblPr>
        <w:tblW w:type="dxa" w:w="9200"/>
        <w:tblBorders>
          <w:top w:val="none"/>
          <w:left w:val="none"/>
          <w:bottom w:val="none"/>
          <w:right w:val="none"/>
          <w:insideH w:val="single" w:color="auto" w:sz="4"/>
          <w:insideV w:val="single" w:color="auto" w:sz="4"/>
        </w:tblBorders>
      </w:tblPr>
      <w:tblGrid>
        <w:gridCol w:w="180"/>
        <w:gridCol w:w="9020"/>
      </w:tblGrid>
      <w:tr>
        <w:tc>
          <w:tcPr>
            <w:tcW w:type="dxa" w:w="180"/>
            <w:tcBorders>
              <w:top w:val="none"/>
              <w:left w:val="single" w:color="C00000" w:sz="18"/>
              <w:bottom w:val="none"/>
              <w:right w:val="none"/>
            </w:tcBorders>
            <w:shd w:fill="FADADD" w:val="clear"/>
            <w:tcMar>
              <w:top w:type="dxa" w:w="80"/>
              <w:left w:type="dxa" w:w="160"/>
              <w:bottom w:type="dxa" w:w="80"/>
              <w:right w:type="dxa" w:w="80"/>
            </w:tcMar>
          </w:tcPr>
          <w:p/>
        </w:tc>
        <w:tc>
          <w:tcPr>
            <w:tcW w:type="dxa" w:w="9020"/>
            <w:tcBorders>
              <w:top w:val="single" w:color="BBBBBB" w:sz="1"/>
              <w:left w:val="single" w:color="BBBBBB" w:sz="1"/>
              <w:bottom w:val="single" w:color="BBBBBB" w:sz="1"/>
              <w:right w:val="single" w:color="BBBBBB" w:sz="1"/>
            </w:tcBorders>
            <w:shd w:fill="FADADD" w:val="clear"/>
            <w:tcMar>
              <w:top w:type="dxa" w:w="100"/>
              <w:left w:type="dxa" w:w="160"/>
              <w:bottom w:type="dxa" w:w="100"/>
              <w:right w:type="dxa" w:w="160"/>
            </w:tcMar>
          </w:tcPr>
          <w:p>
            <w:pPr>
              <w:spacing w:before="0" w:after="0"/>
            </w:pPr>
            <w:r>
              <w:rPr>
                <w:rFonts w:ascii="Arial" w:cs="Arial" w:eastAsia="Arial" w:hAnsi="Arial"/>
                <w:color w:val="000000"/>
                <w:sz w:val="21"/>
                <w:szCs w:val="21"/>
              </w:rPr>
              <w:t xml:space="preserve">MUST — CRITICAL OPEN ITEM: A GDPR-compliant DPA with Anthropic must be executed before any client data flows to the Claude API. This covers Eagle in its processor role (client fund data processed via Claude) and its controller role (ensure no HR/CRM data is used in prompts).</w:t>
            </w:r>
          </w:p>
        </w:tc>
      </w:tr>
    </w:tbl>
    <w:p>
      <w:pPr>
        <w:spacing w:before="80" w:after="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00"/>
      </w:tblGrid>
      <w:tr>
        <w:trPr>
          <w:tblHeader/>
        </w:trPr>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Question</w:t>
            </w:r>
          </w:p>
        </w:tc>
        <w:tc>
          <w:tcPr>
            <w:tcW w:type="dxa" w:w="3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Assessment</w:t>
            </w:r>
          </w:p>
        </w:tc>
        <w:tc>
          <w:tcPr>
            <w:tcW w:type="dxa" w:w="39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 Action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Does client fund data flow to Claude API?</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If input data is sent to Claude, it is processed on Anthropic's infrastructure. Annex IV data is generally not personal data, but data minimisation applies to all data, not just personal data.</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Document exactly which fields are sent to the API. Minimise the data subset. This is both a GDPR and an information security control.</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Is an Anthropic DPA in place?</w:t>
            </w:r>
          </w:p>
        </w:tc>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Anthropic provides a Data Processing Addendum. Must be formally executed — it is not automatic.</w:t>
            </w:r>
          </w:p>
        </w:tc>
        <w:tc>
          <w:tcPr>
            <w:tcW w:type="dxa" w:w="3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Execute Anthropic's DPA before first use of Claude API with any client data.</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Are 2021 SCCs in place for EU-US transfer?</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Anthropic is US-incorporated. Even EU-region inference may involve US corporate access constituting a transfer under GDPR Chapter V.</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Verify DPA includes 2021 SCCs (Module 2 or Module 4 as applicable). Conduct Transfer Impact Assessment (TIA).</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EU-US Data Privacy Framework</w:t>
            </w:r>
          </w:p>
        </w:tc>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Anthropic may be DPF-certified. Verify.</w:t>
            </w:r>
          </w:p>
        </w:tc>
        <w:tc>
          <w:tcPr>
            <w:tcW w:type="dxa" w:w="3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Check Anthropic's DPF certification at https://www.dataprivacyframework.gov. DPF certification provides an additional transfer basis.</w:t>
            </w:r>
          </w:p>
        </w:tc>
      </w:tr>
    </w:tbl>
    <w:p>
      <w:pPr>
        <w:spacing w:before="80" w:after="0"/>
      </w:pPr>
    </w:p>
    <w:p>
      <w:pPr>
        <w:pStyle w:val="Heading2"/>
        <w:spacing w:before="280" w:after="80"/>
      </w:pPr>
      <w:r>
        <w:rPr>
          <w:rFonts w:ascii="Arial" w:cs="Arial" w:eastAsia="Arial" w:hAnsi="Arial"/>
          <w:b/>
          <w:bCs/>
          <w:color w:val="2E5FA3"/>
          <w:sz w:val="26"/>
          <w:szCs w:val="26"/>
        </w:rPr>
        <w:t xml:space="preserve">4.5  Data Subject Rights and Breach Notification</w:t>
      </w:r>
    </w:p>
    <w:p>
      <w:pPr>
        <w:pStyle w:val="ListParagraph"/>
        <w:numPr>
          <w:ilvl w:val="0"/>
          <w:numId w:val="2"/>
        </w:numPr>
        <w:spacing w:before="20" w:after="20"/>
      </w:pPr>
      <w:r>
        <w:rPr>
          <w:rFonts w:ascii="Arial" w:cs="Arial" w:eastAsia="Arial" w:hAnsi="Arial"/>
          <w:color w:val="000000"/>
          <w:sz w:val="22"/>
          <w:szCs w:val="22"/>
        </w:rPr>
        <w:t xml:space="preserve">Data Subject Rights — access, rectification, erasure, portability, restriction, objection. Documented procedures with 30-day response timelines. Designate a responsible person (Head of Compliance in Phase 1).</w:t>
      </w:r>
    </w:p>
    <w:p>
      <w:pPr>
        <w:pStyle w:val="ListParagraph"/>
        <w:numPr>
          <w:ilvl w:val="0"/>
          <w:numId w:val="2"/>
        </w:numPr>
        <w:spacing w:before="20" w:after="20"/>
      </w:pPr>
      <w:r>
        <w:rPr>
          <w:rFonts w:ascii="Arial" w:cs="Arial" w:eastAsia="Arial" w:hAnsi="Arial"/>
          <w:color w:val="000000"/>
          <w:sz w:val="22"/>
          <w:szCs w:val="22"/>
        </w:rPr>
        <w:t xml:space="preserve">Breach Notification — incidents affecting personal data must be assessed within 72 hours. If risk to data subjects is likely, notify the Autoriteit Persoonsgegevens (AP) within 72 hours. Maintain a breach register regardless.</w:t>
      </w:r>
    </w:p>
    <w:p>
      <w:pPr>
        <w:pStyle w:val="ListParagraph"/>
        <w:numPr>
          <w:ilvl w:val="0"/>
          <w:numId w:val="2"/>
        </w:numPr>
        <w:spacing w:before="20" w:after="20"/>
      </w:pPr>
      <w:r>
        <w:rPr>
          <w:rFonts w:ascii="Arial" w:cs="Arial" w:eastAsia="Arial" w:hAnsi="Arial"/>
          <w:color w:val="000000"/>
          <w:sz w:val="22"/>
          <w:szCs w:val="22"/>
        </w:rPr>
        <w:t xml:space="preserve">DPIA — the AP's published high-risk processing list includes AI-assisted processing. Conduct proactively before launch. Required if AP guidelines confirm high-risk status.</w:t>
      </w:r>
    </w:p>
    <w:p>
      <w:pPr>
        <w:spacing w:before="80" w:after="0"/>
      </w:pPr>
    </w:p>
    <w:p>
      <w:pPr>
        <w:pStyle w:val="Heading2"/>
        <w:spacing w:before="280" w:after="80"/>
      </w:pPr>
      <w:r>
        <w:rPr>
          <w:rFonts w:ascii="Arial" w:cs="Arial" w:eastAsia="Arial" w:hAnsi="Arial"/>
          <w:b/>
          <w:bCs/>
          <w:color w:val="2E5FA3"/>
          <w:sz w:val="26"/>
          <w:szCs w:val="26"/>
        </w:rPr>
        <w:t xml:space="preserve">4.6  Dutch UAVG Specifics</w:t>
      </w:r>
    </w:p>
    <w:p>
      <w:pPr>
        <w:pStyle w:val="ListParagraph"/>
        <w:numPr>
          <w:ilvl w:val="0"/>
          <w:numId w:val="2"/>
        </w:numPr>
        <w:spacing w:before="20" w:after="20"/>
      </w:pPr>
      <w:r>
        <w:rPr>
          <w:rFonts w:ascii="Arial" w:cs="Arial" w:eastAsia="Arial" w:hAnsi="Arial"/>
          <w:color w:val="000000"/>
          <w:sz w:val="22"/>
          <w:szCs w:val="22"/>
        </w:rPr>
        <w:t xml:space="preserve">The AP is Eagle's lead supervisory authority. All DPA notifications, breach reports, and regulatory correspondence go to the AP.</w:t>
      </w:r>
    </w:p>
    <w:p>
      <w:pPr>
        <w:pStyle w:val="ListParagraph"/>
        <w:numPr>
          <w:ilvl w:val="0"/>
          <w:numId w:val="2"/>
        </w:numPr>
        <w:spacing w:before="20" w:after="20"/>
      </w:pPr>
      <w:r>
        <w:rPr>
          <w:rFonts w:ascii="Arial" w:cs="Arial" w:eastAsia="Arial" w:hAnsi="Arial"/>
          <w:color w:val="000000"/>
          <w:sz w:val="22"/>
          <w:szCs w:val="22"/>
        </w:rPr>
        <w:t xml:space="preserve">Art. 27 UAVG — works council consent rights over employee monitoring and automated decision-making systems at 50+ FTE threshold (earlier if requested by staff).</w:t>
      </w:r>
    </w:p>
    <w:p>
      <w:pPr>
        <w:pStyle w:val="ListParagraph"/>
        <w:numPr>
          <w:ilvl w:val="0"/>
          <w:numId w:val="2"/>
        </w:numPr>
        <w:spacing w:before="20" w:after="20"/>
      </w:pPr>
      <w:r>
        <w:rPr>
          <w:rFonts w:ascii="Arial" w:cs="Arial" w:eastAsia="Arial" w:hAnsi="Arial"/>
          <w:color w:val="000000"/>
          <w:sz w:val="22"/>
          <w:szCs w:val="22"/>
        </w:rPr>
        <w:t xml:space="preserve">The AP has published specific guidance on AI and automated decision-making. Eagle should consult this guidance when deploying AI tools internally.</w:t>
      </w:r>
    </w:p>
    <w:p>
      <w:pPr>
        <w:spacing w:before="80" w:after="0"/>
      </w:pPr>
    </w:p>
    <w:p>
      <w:pPr>
        <w:pStyle w:val="Heading1"/>
        <w:pBdr>
          <w:bottom w:val="single" w:color="2E5FA3" w:sz="6" w:space="4"/>
        </w:pBdr>
        <w:spacing w:before="360" w:after="120"/>
      </w:pPr>
      <w:r>
        <w:rPr>
          <w:rFonts w:ascii="Arial" w:cs="Arial" w:eastAsia="Arial" w:hAnsi="Arial"/>
          <w:b/>
          <w:bCs/>
          <w:color w:val="4A235A"/>
          <w:sz w:val="32"/>
          <w:szCs w:val="32"/>
        </w:rPr>
        <w:t xml:space="preserve">5.  NIS2 and Dutch Cyberbeveiligingswet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700"/>
        <w:gridCol w:w="1500"/>
      </w:tblGrid>
      <w:tr>
        <w:trPr>
          <w:tblHeader/>
        </w:trPr>
        <w:tc>
          <w:tcPr>
            <w:tcW w:type="dxa" w:w="2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NIS2 / Cbw Obligation</w:t>
            </w:r>
          </w:p>
        </w:tc>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27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Required Action</w:t>
            </w:r>
          </w:p>
        </w:tc>
        <w:tc>
          <w:tcPr>
            <w:tcW w:type="dxa" w:w="1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MoSCoW</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Proportionate security measures (Art. 21)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Substantially satisfied by DORA ICT risk management + ISO 27001 ISMS.</w:t>
            </w:r>
          </w:p>
        </w:tc>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Ensure security measures are documented and map to Art. 21 categories.</w:t>
            </w:r>
          </w:p>
        </w:tc>
        <w:tc>
          <w:tcPr>
            <w:tcW w:type="dxa" w:w="1500"/>
            <w:tcBorders>
              <w:top w:val="single" w:color="BBBBBB" w:sz="1"/>
              <w:left w:val="single" w:color="BBBBBB" w:sz="1"/>
              <w:bottom w:val="single" w:color="BBBBBB" w:sz="1"/>
              <w:right w:val="single" w:color="BBBBBB" w:sz="1"/>
            </w:tcBorders>
            <w:shd w:fill="A0522D"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SHOULD</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Significant incident — 24hr early warning to Dutch CSIRT (NCSC)</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DORA covers financial sector; NIS2 adds separate NCSC notification stream.</w:t>
            </w:r>
          </w:p>
        </w:tc>
        <w:tc>
          <w:tcPr>
            <w:tcW w:type="dxa" w:w="2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Ensure incident response procedure explicitly includes NCSC notification path and thresholds.</w:t>
            </w:r>
          </w:p>
        </w:tc>
        <w:tc>
          <w:tcPr>
            <w:tcW w:type="dxa" w:w="1500"/>
            <w:tcBorders>
              <w:top w:val="single" w:color="BBBBBB" w:sz="1"/>
              <w:left w:val="single" w:color="BBBBBB" w:sz="1"/>
              <w:bottom w:val="single" w:color="BBBBBB" w:sz="1"/>
              <w:right w:val="single" w:color="BBBBBB" w:sz="1"/>
            </w:tcBorders>
            <w:shd w:fill="A0522D"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SHOULD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Significant incident — 72hr full notification to NCSC</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As above.</w:t>
            </w:r>
          </w:p>
        </w:tc>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As above.</w:t>
            </w:r>
          </w:p>
        </w:tc>
        <w:tc>
          <w:tcPr>
            <w:tcW w:type="dxa" w:w="1500"/>
            <w:tcBorders>
              <w:top w:val="single" w:color="BBBBBB" w:sz="1"/>
              <w:left w:val="single" w:color="BBBBBB" w:sz="1"/>
              <w:bottom w:val="single" w:color="BBBBBB" w:sz="1"/>
              <w:right w:val="single" w:color="BBBBBB" w:sz="1"/>
            </w:tcBorders>
            <w:shd w:fill="A0522D"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SHOULD</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Supply chain security</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ISO 27001 A.15 + DORA sub-processor management.</w:t>
            </w:r>
          </w:p>
        </w:tc>
        <w:tc>
          <w:tcPr>
            <w:tcW w:type="dxa" w:w="2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Document AWS and Anthropic security posture. Obtain and retain their ISO 27001 certificates.</w:t>
            </w:r>
          </w:p>
        </w:tc>
        <w:tc>
          <w:tcPr>
            <w:tcW w:type="dxa" w:w="1500"/>
            <w:tcBorders>
              <w:top w:val="single" w:color="BBBBBB" w:sz="1"/>
              <w:left w:val="single" w:color="BBBBBB" w:sz="1"/>
              <w:bottom w:val="single" w:color="BBBBBB" w:sz="1"/>
              <w:right w:val="single" w:color="BBBBBB" w:sz="1"/>
            </w:tcBorders>
            <w:shd w:fill="A0522D"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SHOULD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Registration with competent authority (NCCb)</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Required once entity meets NIS2 scope thresholds.</w:t>
            </w:r>
          </w:p>
        </w:tc>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Assess threshold applicability at launch. Register if required — process through NCCb portal.</w:t>
            </w:r>
          </w:p>
        </w:tc>
        <w:tc>
          <w:tcPr>
            <w:tcW w:type="dxa" w:w="1500"/>
            <w:tcBorders>
              <w:top w:val="single" w:color="BBBBBB" w:sz="1"/>
              <w:left w:val="single" w:color="BBBBBB" w:sz="1"/>
              <w:bottom w:val="single" w:color="BBBBBB" w:sz="1"/>
              <w:right w:val="single" w:color="BBBBBB" w:sz="1"/>
            </w:tcBorders>
            <w:shd w:fill="A0522D"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SHOULD</w:t>
            </w:r>
          </w:p>
        </w:tc>
      </w:tr>
    </w:tbl>
    <w:p>
      <w:pPr>
        <w:spacing w:before="80" w:after="0"/>
      </w:pPr>
    </w:p>
    <w:p>
      <w:pPr>
        <w:pStyle w:val="Heading1"/>
        <w:pBdr>
          <w:bottom w:val="single" w:color="2E5FA3" w:sz="6" w:space="4"/>
        </w:pBdr>
        <w:spacing w:before="360" w:after="120"/>
      </w:pPr>
      <w:r>
        <w:rPr>
          <w:rFonts w:ascii="Arial" w:cs="Arial" w:eastAsia="Arial" w:hAnsi="Arial"/>
          <w:b/>
          <w:bCs/>
          <w:color w:val="4A235A"/>
          <w:sz w:val="32"/>
          <w:szCs w:val="32"/>
        </w:rPr>
        <w:t xml:space="preserve">6.  EU AI Act — Entity-Level Obligations and DORA Exposure</w:t>
      </w:r>
    </w:p>
    <w:p>
      <w:pPr>
        <w:pStyle w:val="Heading2"/>
        <w:spacing w:before="280" w:after="80"/>
      </w:pPr>
      <w:r>
        <w:rPr>
          <w:rFonts w:ascii="Arial" w:cs="Arial" w:eastAsia="Arial" w:hAnsi="Arial"/>
          <w:b/>
          <w:bCs/>
          <w:color w:val="2E5FA3"/>
          <w:sz w:val="26"/>
          <w:szCs w:val="26"/>
        </w:rPr>
        <w:t xml:space="preserve">6.1  Deployer Documentation (Art. 26)</w:t>
      </w:r>
    </w:p>
    <w:p>
      <w:pPr>
        <w:pStyle w:val="ListParagraph"/>
        <w:numPr>
          <w:ilvl w:val="0"/>
          <w:numId w:val="2"/>
        </w:numPr>
        <w:spacing w:before="20" w:after="20"/>
      </w:pPr>
      <w:r>
        <w:rPr>
          <w:rFonts w:ascii="Arial" w:cs="Arial" w:eastAsia="Arial" w:hAnsi="Arial"/>
          <w:color w:val="000000"/>
          <w:sz w:val="22"/>
          <w:szCs w:val="22"/>
        </w:rPr>
        <w:t xml:space="preserve">Use of AI Register — model (Claude, version), tasks, inputs, outputs, human oversight mechanisms, validation steps, record-keeping approach. Retention: minimum 5 years from end of service.</w:t>
      </w:r>
    </w:p>
    <w:p>
      <w:pPr>
        <w:pStyle w:val="ListParagraph"/>
        <w:numPr>
          <w:ilvl w:val="0"/>
          <w:numId w:val="2"/>
        </w:numPr>
        <w:spacing w:before="20" w:after="20"/>
      </w:pPr>
      <w:r>
        <w:rPr>
          <w:rFonts w:ascii="Arial" w:cs="Arial" w:eastAsia="Arial" w:hAnsi="Arial"/>
          <w:color w:val="000000"/>
          <w:sz w:val="22"/>
          <w:szCs w:val="22"/>
        </w:rPr>
        <w:t xml:space="preserve">Post-market monitoring (Art. 72) — monitor Claude's performance and pipeline quality over time. Log degradation, unexpected outputs, edge cases. Report serious incidents to Anthropic and, where applicable, market surveillance authorities.</w:t>
      </w:r>
    </w:p>
    <w:p>
      <w:pPr>
        <w:pStyle w:val="ListParagraph"/>
        <w:numPr>
          <w:ilvl w:val="0"/>
          <w:numId w:val="2"/>
        </w:numPr>
        <w:spacing w:before="20" w:after="20"/>
      </w:pPr>
      <w:r>
        <w:rPr>
          <w:rFonts w:ascii="Arial" w:cs="Arial" w:eastAsia="Arial" w:hAnsi="Arial"/>
          <w:color w:val="000000"/>
          <w:sz w:val="22"/>
          <w:szCs w:val="22"/>
        </w:rPr>
        <w:t xml:space="preserve">The Use of AI Register must be available to competent authorities on request, including indirectly through AFM supervision of Eagle's AIFM clients.</w:t>
      </w:r>
    </w:p>
    <w:p>
      <w:pPr>
        <w:spacing w:before="80" w:after="0"/>
      </w:pPr>
    </w:p>
    <w:p>
      <w:pPr>
        <w:pStyle w:val="Heading2"/>
        <w:spacing w:before="280" w:after="80"/>
      </w:pPr>
      <w:r>
        <w:rPr>
          <w:rFonts w:ascii="Arial" w:cs="Arial" w:eastAsia="Arial" w:hAnsi="Arial"/>
          <w:b/>
          <w:bCs/>
          <w:color w:val="2E5FA3"/>
          <w:sz w:val="26"/>
          <w:szCs w:val="26"/>
        </w:rPr>
        <w:t xml:space="preserve">6.2  AI Act Classification — Entity-Level Safeguard</w:t>
      </w:r>
    </w:p>
    <w:tbl>
      <w:tblPr>
        <w:tblW w:type="dxa" w:w="9200"/>
        <w:tblBorders>
          <w:top w:val="none"/>
          <w:left w:val="none"/>
          <w:bottom w:val="none"/>
          <w:right w:val="none"/>
          <w:insideH w:val="single" w:color="auto" w:sz="4"/>
          <w:insideV w:val="single" w:color="auto" w:sz="4"/>
        </w:tblBorders>
      </w:tblPr>
      <w:tblGrid>
        <w:gridCol w:w="180"/>
        <w:gridCol w:w="9020"/>
      </w:tblGrid>
      <w:tr>
        <w:tc>
          <w:tcPr>
            <w:tcW w:type="dxa" w:w="180"/>
            <w:tcBorders>
              <w:top w:val="none"/>
              <w:left w:val="single" w:color="A0522D" w:sz="18"/>
              <w:bottom w:val="none"/>
              <w:right w:val="none"/>
            </w:tcBorders>
            <w:shd w:fill="FFF2CC" w:val="clear"/>
            <w:tcMar>
              <w:top w:type="dxa" w:w="80"/>
              <w:left w:type="dxa" w:w="160"/>
              <w:bottom w:type="dxa" w:w="80"/>
              <w:right w:type="dxa" w:w="80"/>
            </w:tcMar>
          </w:tcPr>
          <w:p/>
        </w:tc>
        <w:tc>
          <w:tcPr>
            <w:tcW w:type="dxa" w:w="9020"/>
            <w:tcBorders>
              <w:top w:val="single" w:color="BBBBBB" w:sz="1"/>
              <w:left w:val="single" w:color="BBBBBB" w:sz="1"/>
              <w:bottom w:val="single" w:color="BBBBBB" w:sz="1"/>
              <w:right w:val="single" w:color="BBBBBB" w:sz="1"/>
            </w:tcBorders>
            <w:shd w:fill="FFF2CC" w:val="clear"/>
            <w:tcMar>
              <w:top w:type="dxa" w:w="100"/>
              <w:left w:type="dxa" w:w="160"/>
              <w:bottom w:type="dxa" w:w="100"/>
              <w:right w:type="dxa" w:w="160"/>
            </w:tcMar>
          </w:tcPr>
          <w:p>
            <w:pPr>
              <w:spacing w:before="0" w:after="0"/>
            </w:pPr>
            <w:r>
              <w:rPr>
                <w:rFonts w:ascii="Arial" w:cs="Arial" w:eastAsia="Arial" w:hAnsi="Arial"/>
                <w:color w:val="000000"/>
                <w:sz w:val="21"/>
                <w:szCs w:val="21"/>
              </w:rPr>
              <w:t xml:space="preserve">AI ACT SAFEGUARD: Eagle's current non-high-risk classification is conditional on one structural principle: AI never produces final regulatory output (Principle 8). As the entity-level owner of this obligation, the Head of Compliance must maintain a standing control that requires a formal re-classification review before any product scope change that involves AI in the final output chain. This is not a product governance matter alone — it is an entity-level AI Act compliance obligation that cannot be delegated away from the compliance function.</w:t>
            </w:r>
          </w:p>
        </w:tc>
      </w:tr>
    </w:tbl>
    <w:p>
      <w:pPr>
        <w:spacing w:before="80" w:after="0"/>
      </w:pPr>
    </w:p>
    <w:p>
      <w:pPr>
        <w:pStyle w:val="Heading2"/>
        <w:spacing w:before="280" w:after="80"/>
      </w:pPr>
      <w:r>
        <w:rPr>
          <w:rFonts w:ascii="Arial" w:cs="Arial" w:eastAsia="Arial" w:hAnsi="Arial"/>
          <w:b/>
          <w:bCs/>
          <w:color w:val="2E5FA3"/>
          <w:sz w:val="26"/>
          <w:szCs w:val="26"/>
        </w:rPr>
        <w:t xml:space="preserve">6.3  AFM and DNB AI Supervisory Expectations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Supervisory Position</w:t>
            </w:r>
          </w:p>
        </w:tc>
        <w:tc>
          <w:tcPr>
            <w:tcW w:type="dxa" w:w="6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Obligation for Eagle as a Dutch Entity</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AFM Responsible AI (5 principles: Purposeful, Transparent, Reliable, Explainable, Fair)</w:t>
            </w:r>
          </w:p>
        </w:tc>
        <w:tc>
          <w:tcPr>
            <w:tcW w:type="dxa" w:w="6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Eagle's AI governance framework must document how each principle is addressed. Transparent: clients are informed of AI usage. Reliable: AI output is validated by deterministic core. Explainable: audit trail captures AI reasoning steps.</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AFM indirect supervisory scrutiny</w:t>
            </w:r>
          </w:p>
        </w:tc>
        <w:tc>
          <w:tcPr>
            <w:tcW w:type="dxa" w:w="6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If an AFM-supervised AIFM client uses Eagle, the AFM may request information about Eagle's AI controls during its supervision of the AIFM. Eagle must be prepared for indirect scrutiny and have a consistent, documented response ready.</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AFM model risk management (2023 report)</w:t>
            </w:r>
          </w:p>
        </w:tc>
        <w:tc>
          <w:tcPr>
            <w:tcW w:type="dxa" w:w="6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Model inventories maintained, periodic model validation conducted, model outputs challenged by humans. Eagle's Use of AI Register and review gate satisfy core expectations.</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DNB Good Practice — Sound Management of Models (2023)</w:t>
            </w:r>
          </w:p>
        </w:tc>
        <w:tc>
          <w:tcPr>
            <w:tcW w:type="dxa" w:w="6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 Model validation independent of development; (b) model inventory updated; (c) model performance monitored; (d) significant model changes subject to change management and re-validation. CTO owns this governance; Head of Compliance provides independent oversight.</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DNB 2024–2025 Supervisory Agenda — AI priority</w:t>
            </w:r>
          </w:p>
        </w:tc>
        <w:tc>
          <w:tcPr>
            <w:tcW w:type="dxa" w:w="6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DNB has explicitly prioritised AI governance. Dutch AIFM clients face heightened scrutiny from DNB about their AI tool vendors. Eagle must be prepared to be named and assessed in this context.</w:t>
            </w:r>
          </w:p>
        </w:tc>
      </w:tr>
    </w:tbl>
    <w:p>
      <w:pPr>
        <w:spacing w:before="80" w:after="0"/>
      </w:pPr>
    </w:p>
    <w:p>
      <w:pPr>
        <w:pStyle w:val="Heading2"/>
        <w:spacing w:before="280" w:after="80"/>
      </w:pPr>
      <w:r>
        <w:rPr>
          <w:rFonts w:ascii="Arial" w:cs="Arial" w:eastAsia="Arial" w:hAnsi="Arial"/>
          <w:b/>
          <w:bCs/>
          <w:color w:val="2E5FA3"/>
          <w:sz w:val="26"/>
          <w:szCs w:val="26"/>
        </w:rPr>
        <w:t xml:space="preserve">6.4  DORA — Indirect Exposure and Potential CTPP Designation</w:t>
      </w:r>
    </w:p>
    <w:tbl>
      <w:tblPr>
        <w:tblW w:type="dxa" w:w="9200"/>
        <w:tblBorders>
          <w:top w:val="none"/>
          <w:left w:val="none"/>
          <w:bottom w:val="none"/>
          <w:right w:val="none"/>
          <w:insideH w:val="single" w:color="auto" w:sz="4"/>
          <w:insideV w:val="single" w:color="auto" w:sz="4"/>
        </w:tblBorders>
      </w:tblPr>
      <w:tblGrid>
        <w:gridCol w:w="180"/>
        <w:gridCol w:w="9020"/>
      </w:tblGrid>
      <w:tr>
        <w:tc>
          <w:tcPr>
            <w:tcW w:type="dxa" w:w="180"/>
            <w:tcBorders>
              <w:top w:val="none"/>
              <w:left w:val="single" w:color="A0522D" w:sz="18"/>
              <w:bottom w:val="none"/>
              <w:right w:val="none"/>
            </w:tcBorders>
            <w:shd w:fill="FFF2CC" w:val="clear"/>
            <w:tcMar>
              <w:top w:type="dxa" w:w="80"/>
              <w:left w:type="dxa" w:w="160"/>
              <w:bottom w:type="dxa" w:w="80"/>
              <w:right w:type="dxa" w:w="80"/>
            </w:tcMar>
          </w:tcPr>
          <w:p/>
        </w:tc>
        <w:tc>
          <w:tcPr>
            <w:tcW w:type="dxa" w:w="9020"/>
            <w:tcBorders>
              <w:top w:val="single" w:color="BBBBBB" w:sz="1"/>
              <w:left w:val="single" w:color="BBBBBB" w:sz="1"/>
              <w:bottom w:val="single" w:color="BBBBBB" w:sz="1"/>
              <w:right w:val="single" w:color="BBBBBB" w:sz="1"/>
            </w:tcBorders>
            <w:shd w:fill="FFF2CC" w:val="clear"/>
            <w:tcMar>
              <w:top w:type="dxa" w:w="100"/>
              <w:left w:type="dxa" w:w="160"/>
              <w:bottom w:type="dxa" w:w="100"/>
              <w:right w:type="dxa" w:w="160"/>
            </w:tcMar>
          </w:tcPr>
          <w:p>
            <w:pPr>
              <w:spacing w:before="0" w:after="0"/>
            </w:pPr>
            <w:r>
              <w:rPr>
                <w:rFonts w:ascii="Arial" w:cs="Arial" w:eastAsia="Arial" w:hAnsi="Arial"/>
                <w:color w:val="000000"/>
                <w:sz w:val="21"/>
                <w:szCs w:val="21"/>
              </w:rPr>
              <w:t xml:space="preserve">STRATEGIC RISK: Eagle operates within the ICT supply chain of DORA-regulated AIFMs. This creates a layered exposure: currently, Eagle is listed in client DORA registers and subject to audit rights via clients. In the future, if Eagle's client base becomes systemically significant, it may be designated as a Critical ICT Third-Party Service Provider (CTPP) under DORA Art. 31, triggering direct ESA oversight.</w:t>
            </w:r>
          </w:p>
        </w:tc>
      </w:tr>
    </w:tbl>
    <w:p>
      <w:pPr>
        <w:spacing w:before="80" w:after="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500"/>
        <w:gridCol w:w="2100"/>
      </w:tblGrid>
      <w:tr>
        <w:trPr>
          <w:tblHeader/>
        </w:trPr>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DORA Exposure Dimension</w:t>
            </w:r>
          </w:p>
        </w:tc>
        <w:tc>
          <w:tcPr>
            <w:tcW w:type="dxa" w:w="2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Current Position</w:t>
            </w:r>
          </w:p>
        </w:tc>
        <w:tc>
          <w:tcPr>
            <w:tcW w:type="dxa" w:w="2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Future Risk</w:t>
            </w:r>
          </w:p>
        </w:tc>
        <w:tc>
          <w:tcPr>
            <w:tcW w:type="dxa" w:w="21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Action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Register of Information</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Eagle is named in each NL and LU client's DORA ICT register, submitted annually to AFM/CSSF and forwarded to ESAs.</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ESAs use these registers to identify potential CTPPs. Eagle's name accumulates in these registers as the client base grows.</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Ensure accurate and consistent Eagle entity information is provided to all clients for their register submissions. Maintain an internal record of which clients have registered Eagle.</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Audit rights via clients</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DORA Art. 30 gives clients and their NCAs the right to audit Eagle. Eagle must cooperate with any such audit.</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If multiple NCAs exercise audit rights simultaneously (e.g. AFM and CSSF), this creates an operational burden.</w:t>
            </w:r>
          </w:p>
        </w:tc>
        <w:tc>
          <w:tcPr>
            <w:tcW w:type="dxa" w:w="2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Maintain audit-ready documentation at all times. Designate a single point of contact for audit coordination.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Potential CTPP designation</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Not currently designated. CTPP criteria require systemic importance and limited substitutability.</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Risk increases at scale (&gt;20–30 significant AIFM clients). First ESA CTPP designations occurred November 2025.</w:t>
            </w:r>
          </w:p>
        </w:tc>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Monitor ESA CTPP register. Assess at each growth milestone. If designation risk increases, begin TLPT (Threat-Led Penetration Testing) preparation.</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Implications of CTPP designation</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N/A — not currently designated.</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Direct Lead Overseer ESA. Binding oversight recommendations. Mandatory compliance declarations. Annual resilience testing.</w:t>
            </w:r>
          </w:p>
        </w:tc>
        <w:tc>
          <w:tcPr>
            <w:tcW w:type="dxa" w:w="2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Treat current control environment as if CTPP-standard. The gap between current posture and CTPP requirements should be minimal given Eagle's design principles.</w:t>
            </w:r>
          </w:p>
        </w:tc>
      </w:tr>
    </w:tbl>
    <w:p>
      <w:pPr>
        <w:spacing w:before="80" w:after="0"/>
      </w:pPr>
    </w:p>
    <w:p>
      <w:pPr>
        <w:pStyle w:val="Heading1"/>
        <w:pBdr>
          <w:bottom w:val="single" w:color="2E5FA3" w:sz="6" w:space="4"/>
        </w:pBdr>
        <w:spacing w:before="360" w:after="120"/>
      </w:pPr>
      <w:r>
        <w:rPr>
          <w:rFonts w:ascii="Arial" w:cs="Arial" w:eastAsia="Arial" w:hAnsi="Arial"/>
          <w:b/>
          <w:bCs/>
          <w:color w:val="4A235A"/>
          <w:sz w:val="32"/>
          <w:szCs w:val="32"/>
        </w:rPr>
        <w:t xml:space="preserve">7.  ISO/IEC 27001 — ISMS and Certification Programme</w:t>
      </w:r>
    </w:p>
    <w:p>
      <w:pPr>
        <w:pStyle w:val="Heading2"/>
        <w:spacing w:before="280" w:after="80"/>
      </w:pPr>
      <w:r>
        <w:rPr>
          <w:rFonts w:ascii="Arial" w:cs="Arial" w:eastAsia="Arial" w:hAnsi="Arial"/>
          <w:b/>
          <w:bCs/>
          <w:color w:val="2E5FA3"/>
          <w:sz w:val="26"/>
          <w:szCs w:val="26"/>
        </w:rPr>
        <w:t xml:space="preserve">7.1  Why ISO 27001 is a MUST</w:t>
      </w:r>
    </w:p>
    <w:p>
      <w:pPr>
        <w:pStyle w:val="ListParagraph"/>
        <w:numPr>
          <w:ilvl w:val="0"/>
          <w:numId w:val="2"/>
        </w:numPr>
        <w:spacing w:before="20" w:after="20"/>
      </w:pPr>
      <w:r>
        <w:rPr>
          <w:rFonts w:ascii="Arial" w:cs="Arial" w:eastAsia="Arial" w:hAnsi="Arial"/>
          <w:color w:val="000000"/>
          <w:sz w:val="22"/>
          <w:szCs w:val="22"/>
        </w:rPr>
        <w:t xml:space="preserve">The ISMS foundation that DORA ICT risk management, NIS2 Art. 21 security measures, and GDPR Art. 32 security of processing all require as evidence of appropriate controls.</w:t>
      </w:r>
    </w:p>
    <w:p>
      <w:pPr>
        <w:pStyle w:val="ListParagraph"/>
        <w:numPr>
          <w:ilvl w:val="0"/>
          <w:numId w:val="2"/>
        </w:numPr>
        <w:spacing w:before="20" w:after="20"/>
      </w:pPr>
      <w:r>
        <w:rPr>
          <w:rFonts w:ascii="Arial" w:cs="Arial" w:eastAsia="Arial" w:hAnsi="Arial"/>
          <w:color w:val="000000"/>
          <w:sz w:val="22"/>
          <w:szCs w:val="22"/>
        </w:rPr>
        <w:t xml:space="preserve">The control library (Annex A) that maps directly to ISAE 3402 and SOC 2 criteria, making subsequent certifications significantly more efficient.</w:t>
      </w:r>
    </w:p>
    <w:p>
      <w:pPr>
        <w:pStyle w:val="ListParagraph"/>
        <w:numPr>
          <w:ilvl w:val="0"/>
          <w:numId w:val="2"/>
        </w:numPr>
        <w:spacing w:before="20" w:after="20"/>
      </w:pPr>
      <w:r>
        <w:rPr>
          <w:rFonts w:ascii="Arial" w:cs="Arial" w:eastAsia="Arial" w:hAnsi="Arial"/>
          <w:color w:val="000000"/>
          <w:sz w:val="22"/>
          <w:szCs w:val="22"/>
        </w:rPr>
        <w:t xml:space="preserve">GDPR Art. 32(1)(d) compliance mechanism — ISO 27001 certification is explicitly referenced in GDPR as a method for demonstrating appropriate security.</w:t>
      </w:r>
    </w:p>
    <w:p>
      <w:pPr>
        <w:pStyle w:val="ListParagraph"/>
        <w:numPr>
          <w:ilvl w:val="0"/>
          <w:numId w:val="2"/>
        </w:numPr>
        <w:spacing w:before="20" w:after="20"/>
      </w:pPr>
      <w:r>
        <w:rPr>
          <w:rFonts w:ascii="Arial" w:cs="Arial" w:eastAsia="Arial" w:hAnsi="Arial"/>
          <w:color w:val="000000"/>
          <w:sz w:val="22"/>
          <w:szCs w:val="22"/>
        </w:rPr>
        <w:t xml:space="preserve">The supplier risk management framework (Annex A.15) that satisfies NIS2 supply chain security requirements and DORA third-party risk obligations.</w:t>
      </w:r>
    </w:p>
    <w:p>
      <w:pPr>
        <w:spacing w:before="80" w:after="0"/>
      </w:pPr>
    </w:p>
    <w:p>
      <w:pPr>
        <w:pStyle w:val="Heading2"/>
        <w:spacing w:before="280" w:after="80"/>
      </w:pPr>
      <w:r>
        <w:rPr>
          <w:rFonts w:ascii="Arial" w:cs="Arial" w:eastAsia="Arial" w:hAnsi="Arial"/>
          <w:b/>
          <w:bCs/>
          <w:color w:val="2E5FA3"/>
          <w:sz w:val="26"/>
          <w:szCs w:val="26"/>
        </w:rPr>
        <w:t xml:space="preserve">7.2  ISO 27001 Annex A Domains — Eagle-Specific Assessment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00"/>
      </w:tblGrid>
      <w:tr>
        <w:trPr>
          <w:tblHeader/>
        </w:trPr>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Domain</w:t>
            </w:r>
          </w:p>
        </w:tc>
        <w:tc>
          <w:tcPr>
            <w:tcW w:type="dxa" w:w="2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Key Controls</w:t>
            </w:r>
          </w:p>
        </w:tc>
        <w:tc>
          <w:tcPr>
            <w:tcW w:type="dxa" w:w="47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Eagle-Specific Notes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A.5 Information Security Policies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ISMS policy, IS policy review</w:t>
            </w:r>
          </w:p>
        </w:tc>
        <w:tc>
          <w:tcPr>
            <w:tcW w:type="dxa" w:w="4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Write once at Phase 1. Annual review cycle.</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A.6 Organisation of IS</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Roles and responsibilities, segregation of duties</w:t>
            </w:r>
          </w:p>
        </w:tc>
        <w:tc>
          <w:tcPr>
            <w:tcW w:type="dxa" w:w="4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 independence from CTO is the key segregation control.</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A.8 Asset Management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Asset inventory, classification, acceptable use</w:t>
            </w:r>
          </w:p>
        </w:tc>
        <w:tc>
          <w:tcPr>
            <w:tcW w:type="dxa" w:w="4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Includes Claude API, AWS services, client data, own admin data. Maps to DORA ICT asset register.</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A.9 Access Control</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Least-privilege, user access management, privileged access</w:t>
            </w:r>
          </w:p>
        </w:tc>
        <w:tc>
          <w:tcPr>
            <w:tcW w:type="dxa" w:w="4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Eagle Principle 9. Must be documented and evidenced per-system.</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A.10 Cryptography</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Encryption policy, key management</w:t>
            </w:r>
          </w:p>
        </w:tc>
        <w:tc>
          <w:tcPr>
            <w:tcW w:type="dxa" w:w="4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Encryption in transit (TLS) and at rest (AES-256 or equivalent). Document the encryption standard.</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A.12 Operations Security</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Logging, monitoring, vulnerability management</w:t>
            </w:r>
          </w:p>
        </w:tc>
        <w:tc>
          <w:tcPr>
            <w:tcW w:type="dxa" w:w="4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Audit trail logging satisfies both A.12 and DORA requirements.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A.13 Communications Security</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Network security, data transfer agreements</w:t>
            </w:r>
          </w:p>
        </w:tc>
        <w:tc>
          <w:tcPr>
            <w:tcW w:type="dxa" w:w="4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Covers API security (Claude, NCA endpoints). Document network architecture.</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A.15 Supplier Relationships</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Supplier assessment, monitoring, agreements</w:t>
            </w:r>
          </w:p>
        </w:tc>
        <w:tc>
          <w:tcPr>
            <w:tcW w:type="dxa" w:w="4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AWS and Anthropic: obtain their ISO 27001 certificates. Include in supplier register.</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A.16 Incident Management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Incident response, event classification</w:t>
            </w:r>
          </w:p>
        </w:tc>
        <w:tc>
          <w:tcPr>
            <w:tcW w:type="dxa" w:w="4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Single procedure satisfies ISO 27001, DORA, and NIS2. Write once.</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A.17 Business Continuity</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BCP, DR plan, testing</w:t>
            </w:r>
          </w:p>
        </w:tc>
        <w:tc>
          <w:tcPr>
            <w:tcW w:type="dxa" w:w="4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RTO and RPO required by DORA. ISO 27001 A.17 provides the framework.</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A.18 Compliance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Legal, statutory, regulatory compliance review</w:t>
            </w:r>
          </w:p>
        </w:tc>
        <w:tc>
          <w:tcPr>
            <w:tcW w:type="dxa" w:w="4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Annual compliance review linking ISMS controls to this document's obligations.</w:t>
            </w:r>
          </w:p>
        </w:tc>
      </w:tr>
    </w:tbl>
    <w:p>
      <w:pPr>
        <w:spacing w:before="80" w:after="0"/>
      </w:pPr>
    </w:p>
    <w:p>
      <w:pPr>
        <w:pStyle w:val="Heading2"/>
        <w:spacing w:before="280" w:after="80"/>
      </w:pPr>
      <w:r>
        <w:rPr>
          <w:rFonts w:ascii="Arial" w:cs="Arial" w:eastAsia="Arial" w:hAnsi="Arial"/>
          <w:b/>
          <w:bCs/>
          <w:color w:val="2E5FA3"/>
          <w:sz w:val="26"/>
          <w:szCs w:val="26"/>
        </w:rPr>
        <w:t xml:space="preserve">7.3  ISO 27001 Certification Roadmap</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1800"/>
        <w:gridCol w:w="1700"/>
      </w:tblGrid>
      <w:tr>
        <w:trPr>
          <w:tblHeader/>
        </w:trPr>
        <w:tc>
          <w:tcPr>
            <w:tcW w:type="dxa" w:w="2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Step</w:t>
            </w:r>
          </w:p>
        </w:tc>
        <w:tc>
          <w:tcPr>
            <w:tcW w:type="dxa" w:w="43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Action</w:t>
            </w:r>
          </w:p>
        </w:tc>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Owner</w:t>
            </w:r>
          </w:p>
        </w:tc>
        <w:tc>
          <w:tcPr>
            <w:tcW w:type="dxa" w:w="17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Timing</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Gap assessment</w:t>
            </w:r>
          </w:p>
        </w:tc>
        <w:tc>
          <w:tcPr>
            <w:tcW w:type="dxa" w:w="4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Assess current state against ISO 27001 Annex A controls. Produce gap register.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 + CTO</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Pre-launch / Phase 1</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ISMS documentation</w:t>
            </w:r>
          </w:p>
        </w:tc>
        <w:tc>
          <w:tcPr>
            <w:tcW w:type="dxa" w:w="4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Write IS policies, procedures, risk assessment and treatment plan.</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w:t>
            </w:r>
          </w:p>
        </w:tc>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Phase 1</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Control implementation</w:t>
            </w:r>
          </w:p>
        </w:tc>
        <w:tc>
          <w:tcPr>
            <w:tcW w:type="dxa" w:w="4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Implement gap controls: access control, encryption, vulnerability management, supplier register, incident procedure.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CTO + Head of Engineering</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Phase 1</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Internal audit</w:t>
            </w:r>
          </w:p>
        </w:tc>
        <w:tc>
          <w:tcPr>
            <w:tcW w:type="dxa" w:w="4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First internal audit of the ISMS before external certification.</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 (or external support)</w:t>
            </w:r>
          </w:p>
        </w:tc>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Phase 1 post-implementation</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Certification body selection</w:t>
            </w:r>
          </w:p>
        </w:tc>
        <w:tc>
          <w:tcPr>
            <w:tcW w:type="dxa" w:w="4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Engage BSI, Bureau Veritas, TÜV, or LRQA (all ISO 17021-1 accredited).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Phase 1</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Stage 1 audit</w:t>
            </w:r>
          </w:p>
        </w:tc>
        <w:tc>
          <w:tcPr>
            <w:tcW w:type="dxa" w:w="4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Certification body reviews ISMS documentation. Identifies non-conformities.</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External auditor</w:t>
            </w:r>
          </w:p>
        </w:tc>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~9–12 months post launch</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Stage 2 audit</w:t>
            </w:r>
          </w:p>
        </w:tc>
        <w:tc>
          <w:tcPr>
            <w:tcW w:type="dxa" w:w="4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On-site assessment of control effectiveness.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External auditor</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~2–4 weeks after Stage 1 clearance</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Certification</w:t>
            </w:r>
          </w:p>
        </w:tc>
        <w:tc>
          <w:tcPr>
            <w:tcW w:type="dxa" w:w="4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ISO 27001 certificate issued. Valid 3 years with annual surveillance audits.</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External auditor</w:t>
            </w:r>
          </w:p>
        </w:tc>
        <w:tc>
          <w:tcPr>
            <w:tcW w:type="dxa" w:w="17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~12 months post launch</w:t>
            </w:r>
          </w:p>
        </w:tc>
      </w:tr>
    </w:tbl>
    <w:p>
      <w:pPr>
        <w:spacing w:before="80" w:after="0"/>
      </w:pPr>
    </w:p>
    <w:p>
      <w:pPr>
        <w:pStyle w:val="Heading1"/>
        <w:pBdr>
          <w:bottom w:val="single" w:color="2E5FA3" w:sz="6" w:space="4"/>
        </w:pBdr>
        <w:spacing w:before="360" w:after="120"/>
      </w:pPr>
      <w:r>
        <w:rPr>
          <w:rFonts w:ascii="Arial" w:cs="Arial" w:eastAsia="Arial" w:hAnsi="Arial"/>
          <w:b/>
          <w:bCs/>
          <w:color w:val="4A235A"/>
          <w:sz w:val="32"/>
          <w:szCs w:val="32"/>
        </w:rPr>
        <w:t xml:space="preserve">8.  ISAE 3402 and SOC 2 — Certification Roadmap</w:t>
      </w:r>
    </w:p>
    <w:p>
      <w:pPr>
        <w:spacing w:before="40" w:after="40"/>
      </w:pPr>
      <w:r>
        <w:rPr>
          <w:rFonts w:ascii="Arial" w:cs="Arial" w:eastAsia="Arial" w:hAnsi="Arial"/>
          <w:color w:val="000000"/>
          <w:sz w:val="22"/>
          <w:szCs w:val="22"/>
        </w:rPr>
        <w:t xml:space="preserve">The certification commercial analysis is covered in the Product document (Section 9). This section covers the entity-level programme management for achieving and maintaining the certifications.</w:t>
      </w:r>
    </w:p>
    <w:p>
      <w:pPr>
        <w:spacing w:before="80" w:after="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4100"/>
        <w:gridCol w:w="1900"/>
        <w:gridCol w:w="180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Step</w:t>
            </w:r>
          </w:p>
        </w:tc>
        <w:tc>
          <w:tcPr>
            <w:tcW w:type="dxa" w:w="41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Action</w:t>
            </w:r>
          </w:p>
        </w:tc>
        <w:tc>
          <w:tcPr>
            <w:tcW w:type="dxa" w:w="19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Owner</w:t>
            </w:r>
          </w:p>
        </w:tc>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Timing</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Auditor selection</w:t>
            </w:r>
          </w:p>
        </w:tc>
        <w:tc>
          <w:tcPr>
            <w:tcW w:type="dxa" w:w="4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Engage a Big Four or specialist firm with financial services ISAE 3402 experience: KPMG, Deloitte, EY, BDO, Mazars.</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Phase 1 pre-launch</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Control objectives definition</w:t>
            </w:r>
          </w:p>
        </w:tc>
        <w:tc>
          <w:tcPr>
            <w:tcW w:type="dxa" w:w="4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Define control objectives: validation accuracy, completeness, auditability, access controls, change management.</w:t>
            </w:r>
          </w:p>
        </w:tc>
        <w:tc>
          <w:tcPr>
            <w:tcW w:type="dxa" w:w="1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 + CTO</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Phase 1</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Controls build</w:t>
            </w:r>
          </w:p>
        </w:tc>
        <w:tc>
          <w:tcPr>
            <w:tcW w:type="dxa" w:w="4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Ensure all ISAE-scoped controls are production-ready and evidenced. Leverage ISO 27001 ISMS.</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CTO + Head of Engineering</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Phase 1</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Type I readiness assessment</w:t>
            </w:r>
          </w:p>
        </w:tc>
        <w:tc>
          <w:tcPr>
            <w:tcW w:type="dxa" w:w="4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Auditor assesses design and implementation of controls at a point in time.</w:t>
            </w:r>
          </w:p>
        </w:tc>
        <w:tc>
          <w:tcPr>
            <w:tcW w:type="dxa" w:w="1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External auditor</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6–9 months post first client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Type I report issued</w:t>
            </w:r>
          </w:p>
        </w:tc>
        <w:tc>
          <w:tcPr>
            <w:tcW w:type="dxa" w:w="4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Report available for client due diligence. Resolves statutory auditor bottleneck.</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External auditor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~9 months post first client</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Observation period begins</w:t>
            </w:r>
          </w:p>
        </w:tc>
        <w:tc>
          <w:tcPr>
            <w:tcW w:type="dxa" w:w="4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Type II covers a minimum 6-month period of operating effectiveness.</w:t>
            </w:r>
          </w:p>
        </w:tc>
        <w:tc>
          <w:tcPr>
            <w:tcW w:type="dxa" w:w="1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Immediately after Type I</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Type II report issued</w:t>
            </w:r>
          </w:p>
        </w:tc>
        <w:tc>
          <w:tcPr>
            <w:tcW w:type="dxa" w:w="4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Full operating effectiveness report. Required for institutional clients and renewals.</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External auditor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~18 months post first client</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SOC 2 Type I</w:t>
            </w:r>
          </w:p>
        </w:tc>
        <w:tc>
          <w:tcPr>
            <w:tcW w:type="dxa" w:w="41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Run parallel to ISAE 3402 Type II if US client volume justifies.</w:t>
            </w:r>
          </w:p>
        </w:tc>
        <w:tc>
          <w:tcPr>
            <w:tcW w:type="dxa" w:w="1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Phase 2</w:t>
            </w:r>
          </w:p>
        </w:tc>
      </w:tr>
    </w:tbl>
    <w:p>
      <w:pPr>
        <w:spacing w:before="80" w:after="0"/>
      </w:pPr>
    </w:p>
    <w:p>
      <w:pPr>
        <w:pStyle w:val="Heading1"/>
        <w:pBdr>
          <w:bottom w:val="single" w:color="2E5FA3" w:sz="6" w:space="4"/>
        </w:pBdr>
        <w:spacing w:before="360" w:after="120"/>
      </w:pPr>
      <w:r>
        <w:rPr>
          <w:rFonts w:ascii="Arial" w:cs="Arial" w:eastAsia="Arial" w:hAnsi="Arial"/>
          <w:b/>
          <w:bCs/>
          <w:color w:val="4A235A"/>
          <w:sz w:val="32"/>
          <w:szCs w:val="32"/>
        </w:rPr>
        <w:t xml:space="preserve">9.  Internal Governance — Policy Checklist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000"/>
        <w:gridCol w:w="1300"/>
      </w:tblGrid>
      <w:tr>
        <w:trPr>
          <w:tblHeader/>
        </w:trPr>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Policy / Procedure</w:t>
            </w:r>
          </w:p>
        </w:tc>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Driven by</w:t>
            </w:r>
          </w:p>
        </w:tc>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Owner</w:t>
            </w:r>
          </w:p>
        </w:tc>
        <w:tc>
          <w:tcPr>
            <w:tcW w:type="dxa" w:w="13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MoSCoW</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Information Security Policy (ISMS)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ISO 27001 A.5</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 + CTO</w:t>
            </w:r>
          </w:p>
        </w:tc>
        <w:tc>
          <w:tcPr>
            <w:tcW w:type="dxa" w:w="13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Record of Processing Activities (RoPA)</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GDPR Art. 30</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w:t>
            </w:r>
          </w:p>
        </w:tc>
        <w:tc>
          <w:tcPr>
            <w:tcW w:type="dxa" w:w="13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Privacy Policy (external)</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GDPR; UAVG; UK GDPR; CCPA</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w:t>
            </w:r>
          </w:p>
        </w:tc>
        <w:tc>
          <w:tcPr>
            <w:tcW w:type="dxa" w:w="13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Data Retention and Deletion Policy</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GDPR; Dutch tax law; UAVG</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w:t>
            </w:r>
          </w:p>
        </w:tc>
        <w:tc>
          <w:tcPr>
            <w:tcW w:type="dxa" w:w="13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Data Subject Rights Procedure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GDPR Arts. 15–22</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w:t>
            </w:r>
          </w:p>
        </w:tc>
        <w:tc>
          <w:tcPr>
            <w:tcW w:type="dxa" w:w="13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Data Breach Response Procedure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GDPR Art. 33–34; AP guidelines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w:t>
            </w:r>
          </w:p>
        </w:tc>
        <w:tc>
          <w:tcPr>
            <w:tcW w:type="dxa" w:w="13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Data Processing Agreements (clients)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GDPR Art. 28</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w:t>
            </w:r>
          </w:p>
        </w:tc>
        <w:tc>
          <w:tcPr>
            <w:tcW w:type="dxa" w:w="13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DPIA — AI-assisted processing</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AP high-risk processing list; GDPR Art. 35</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w:t>
            </w:r>
          </w:p>
        </w:tc>
        <w:tc>
          <w:tcPr>
            <w:tcW w:type="dxa" w:w="13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Use of AI Register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EU AI Act Art. 26</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CTO + Head of Compliance</w:t>
            </w:r>
          </w:p>
        </w:tc>
        <w:tc>
          <w:tcPr>
            <w:tcW w:type="dxa" w:w="13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AI Classification Safeguard Policy</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EU AI Act; Product Compliance doc P-M13</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w:t>
            </w:r>
          </w:p>
        </w:tc>
        <w:tc>
          <w:tcPr>
            <w:tcW w:type="dxa" w:w="13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ICT Incident Management Procedure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DORA; NIS2; ISO 27001 A.16</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CTO + Head of Compliance</w:t>
            </w:r>
          </w:p>
        </w:tc>
        <w:tc>
          <w:tcPr>
            <w:tcW w:type="dxa" w:w="1300"/>
            <w:tcBorders>
              <w:top w:val="single" w:color="BBBBBB" w:sz="1"/>
              <w:left w:val="single" w:color="BBBBBB" w:sz="1"/>
              <w:bottom w:val="single" w:color="BBBBBB" w:sz="1"/>
              <w:right w:val="single" w:color="BBBBBB" w:sz="1"/>
            </w:tcBorders>
            <w:shd w:fill="7B000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MUST</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Business Continuity and DR Plan</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DORA Art. 30; ISO 27001 A.17</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CTO</w:t>
            </w:r>
          </w:p>
        </w:tc>
        <w:tc>
          <w:tcPr>
            <w:tcW w:type="dxa" w:w="1300"/>
            <w:tcBorders>
              <w:top w:val="single" w:color="BBBBBB" w:sz="1"/>
              <w:left w:val="single" w:color="BBBBBB" w:sz="1"/>
              <w:bottom w:val="single" w:color="BBBBBB" w:sz="1"/>
              <w:right w:val="single" w:color="BBBBBB" w:sz="1"/>
            </w:tcBorders>
            <w:shd w:fill="A0522D"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SHOULD</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Supplier Security Register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ISO 27001 A.15; NIS2; DORA</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 + CTO</w:t>
            </w:r>
          </w:p>
        </w:tc>
        <w:tc>
          <w:tcPr>
            <w:tcW w:type="dxa" w:w="1300"/>
            <w:tcBorders>
              <w:top w:val="single" w:color="BBBBBB" w:sz="1"/>
              <w:left w:val="single" w:color="BBBBBB" w:sz="1"/>
              <w:bottom w:val="single" w:color="BBBBBB" w:sz="1"/>
              <w:right w:val="single" w:color="BBBBBB" w:sz="1"/>
            </w:tcBorders>
            <w:shd w:fill="A0522D"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SHOULD</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AI Governance Procedure (model monitoring, version management, re-validation)</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EU AI Act; AFM/DNB AI guidance</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CTO</w:t>
            </w:r>
          </w:p>
        </w:tc>
        <w:tc>
          <w:tcPr>
            <w:tcW w:type="dxa" w:w="1300"/>
            <w:tcBorders>
              <w:top w:val="single" w:color="BBBBBB" w:sz="1"/>
              <w:left w:val="single" w:color="BBBBBB" w:sz="1"/>
              <w:bottom w:val="single" w:color="BBBBBB" w:sz="1"/>
              <w:right w:val="single" w:color="BBBBBB" w:sz="1"/>
            </w:tcBorders>
            <w:shd w:fill="A0522D"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SHOULD</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Employee Acceptable Use Policy</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ISO 27001 A.6/A.9</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w:t>
            </w:r>
          </w:p>
        </w:tc>
        <w:tc>
          <w:tcPr>
            <w:tcW w:type="dxa" w:w="1300"/>
            <w:tcBorders>
              <w:top w:val="single" w:color="BBBBBB" w:sz="1"/>
              <w:left w:val="single" w:color="BBBBBB" w:sz="1"/>
              <w:bottom w:val="single" w:color="BBBBBB" w:sz="1"/>
              <w:right w:val="single" w:color="BBBBBB" w:sz="1"/>
            </w:tcBorders>
            <w:shd w:fill="A0522D"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SHOULD</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Change Management Procedure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ISO 27001 A.12; ISAE 3402 scope</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CTO</w:t>
            </w:r>
          </w:p>
        </w:tc>
        <w:tc>
          <w:tcPr>
            <w:tcW w:type="dxa" w:w="1300"/>
            <w:tcBorders>
              <w:top w:val="single" w:color="BBBBBB" w:sz="1"/>
              <w:left w:val="single" w:color="BBBBBB" w:sz="1"/>
              <w:bottom w:val="single" w:color="BBBBBB" w:sz="1"/>
              <w:right w:val="single" w:color="BBBBBB" w:sz="1"/>
            </w:tcBorders>
            <w:shd w:fill="A0522D"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SHOULD</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CTPP Readiness Assessment Log</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DORA Art. 31; annual growth milestone review</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w:t>
            </w:r>
          </w:p>
        </w:tc>
        <w:tc>
          <w:tcPr>
            <w:tcW w:type="dxa" w:w="1300"/>
            <w:tcBorders>
              <w:top w:val="single" w:color="BBBBBB" w:sz="1"/>
              <w:left w:val="single" w:color="BBBBBB" w:sz="1"/>
              <w:bottom w:val="single" w:color="BBBBBB" w:sz="1"/>
              <w:right w:val="single" w:color="BBBBBB" w:sz="1"/>
            </w:tcBorders>
            <w:shd w:fill="005F6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COULD</w:t>
            </w:r>
          </w:p>
        </w:tc>
      </w:tr>
    </w:tbl>
    <w:p>
      <w:pPr>
        <w:spacing w:before="80" w:after="0"/>
      </w:pPr>
    </w:p>
    <w:p>
      <w:pPr>
        <w:pStyle w:val="Heading1"/>
        <w:pBdr>
          <w:bottom w:val="single" w:color="2E5FA3" w:sz="6" w:space="4"/>
        </w:pBdr>
        <w:spacing w:before="360" w:after="120"/>
      </w:pPr>
      <w:r>
        <w:rPr>
          <w:rFonts w:ascii="Arial" w:cs="Arial" w:eastAsia="Arial" w:hAnsi="Arial"/>
          <w:b/>
          <w:bCs/>
          <w:color w:val="4A235A"/>
          <w:sz w:val="32"/>
          <w:szCs w:val="32"/>
        </w:rPr>
        <w:t xml:space="preserve">10.  Company MoSCoW Action Register</w:t>
      </w:r>
    </w:p>
    <w:p>
      <w:pPr>
        <w:pStyle w:val="Heading2"/>
        <w:spacing w:before="280" w:after="80"/>
      </w:pPr>
      <w:r>
        <w:rPr>
          <w:rFonts w:ascii="Arial" w:cs="Arial" w:eastAsia="Arial" w:hAnsi="Arial"/>
          <w:b/>
          <w:bCs/>
          <w:color w:val="2E5FA3"/>
          <w:sz w:val="26"/>
          <w:szCs w:val="26"/>
        </w:rPr>
        <w:t xml:space="preserve">MUST — Pre-launch or immediately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
        <w:gridCol w:w="5200"/>
        <w:gridCol w:w="2000"/>
        <w:gridCol w:w="1800"/>
      </w:tblGrid>
      <w:tr>
        <w:trPr>
          <w:tblHeader/>
        </w:trPr>
        <w:tc>
          <w:tcPr>
            <w:tcW w:type="dxa" w:w="300"/>
            <w:tcBorders>
              <w:top w:val="single" w:color="BBBBBB" w:sz="1"/>
              <w:left w:val="single" w:color="BBBBBB" w:sz="1"/>
              <w:bottom w:val="single" w:color="BBBBBB" w:sz="1"/>
              <w:right w:val="single" w:color="BBBBBB" w:sz="1"/>
            </w:tcBorders>
            <w:shd w:fill="4A235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t>
            </w:r>
          </w:p>
        </w:tc>
        <w:tc>
          <w:tcPr>
            <w:tcW w:type="dxa" w:w="5200"/>
            <w:tcBorders>
              <w:top w:val="single" w:color="BBBBBB" w:sz="1"/>
              <w:left w:val="single" w:color="BBBBBB" w:sz="1"/>
              <w:bottom w:val="single" w:color="BBBBBB" w:sz="1"/>
              <w:right w:val="single" w:color="BBBBBB" w:sz="1"/>
            </w:tcBorders>
            <w:shd w:fill="4A235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Action</w:t>
            </w:r>
          </w:p>
        </w:tc>
        <w:tc>
          <w:tcPr>
            <w:tcW w:type="dxa" w:w="2000"/>
            <w:tcBorders>
              <w:top w:val="single" w:color="BBBBBB" w:sz="1"/>
              <w:left w:val="single" w:color="BBBBBB" w:sz="1"/>
              <w:bottom w:val="single" w:color="BBBBBB" w:sz="1"/>
              <w:right w:val="single" w:color="BBBBBB" w:sz="1"/>
            </w:tcBorders>
            <w:shd w:fill="4A235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Owner</w:t>
            </w:r>
          </w:p>
        </w:tc>
        <w:tc>
          <w:tcPr>
            <w:tcW w:type="dxa" w:w="1800"/>
            <w:tcBorders>
              <w:top w:val="single" w:color="BBBBBB" w:sz="1"/>
              <w:left w:val="single" w:color="BBBBBB" w:sz="1"/>
              <w:bottom w:val="single" w:color="BBBBBB" w:sz="1"/>
              <w:right w:val="single" w:color="BBBBBB" w:sz="1"/>
            </w:tcBorders>
            <w:shd w:fill="4A235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Deadline</w:t>
            </w:r>
          </w:p>
        </w:tc>
      </w:tr>
      <w:tr>
        <w:tc>
          <w:tcPr>
            <w:tcW w:type="dxa" w:w="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C-M1</w:t>
            </w:r>
          </w:p>
        </w:tc>
        <w:tc>
          <w:tcPr>
            <w:tcW w:type="dxa" w:w="5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Obtain formal legal opinion on Wft/AFM licensing status — covering licensing, registration, indirect supervisory relationship, and AI-related exposure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CEO + NL financial law counsel</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Before first contract</w:t>
            </w:r>
          </w:p>
        </w:tc>
      </w:tr>
      <w:tr>
        <w:tc>
          <w:tcPr>
            <w:tcW w:type="dxa" w:w="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C-M2</w:t>
            </w:r>
          </w:p>
        </w:tc>
        <w:tc>
          <w:tcPr>
            <w:tcW w:type="dxa" w:w="5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Execute Anthropic Data Processing Addendum; conduct Transfer Impact Assessment; verify SCC applicability or DPF coverage</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Before Claude API processes any client data</w:t>
            </w:r>
          </w:p>
        </w:tc>
      </w:tr>
      <w:tr>
        <w:tc>
          <w:tcPr>
            <w:tcW w:type="dxa" w:w="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C-M3</w:t>
            </w:r>
          </w:p>
        </w:tc>
        <w:tc>
          <w:tcPr>
            <w:tcW w:type="dxa" w:w="5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Establish Record of Processing Activities (RoPA) for all three personal data domains + processor role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Pre-launch</w:t>
            </w:r>
          </w:p>
        </w:tc>
      </w:tr>
      <w:tr>
        <w:tc>
          <w:tcPr>
            <w:tcW w:type="dxa" w:w="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C-M4</w:t>
            </w:r>
          </w:p>
        </w:tc>
        <w:tc>
          <w:tcPr>
            <w:tcW w:type="dxa" w:w="5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Draft and publish Privacy Policy covering employees, contractors, CRM contacts (EU, UK, US)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Pre-launch</w:t>
            </w:r>
          </w:p>
        </w:tc>
      </w:tr>
      <w:tr>
        <w:tc>
          <w:tcPr>
            <w:tcW w:type="dxa" w:w="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C-M5</w:t>
            </w:r>
          </w:p>
        </w:tc>
        <w:tc>
          <w:tcPr>
            <w:tcW w:type="dxa" w:w="5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Implement Data Retention and Deletion Policy with domain-specific timelines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Pre-launch</w:t>
            </w:r>
          </w:p>
        </w:tc>
      </w:tr>
      <w:tr>
        <w:tc>
          <w:tcPr>
            <w:tcW w:type="dxa" w:w="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C-M6</w:t>
            </w:r>
          </w:p>
        </w:tc>
        <w:tc>
          <w:tcPr>
            <w:tcW w:type="dxa" w:w="5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Implement Data Subject Rights procedure with 30-day response process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Pre-launch</w:t>
            </w:r>
          </w:p>
        </w:tc>
      </w:tr>
      <w:tr>
        <w:tc>
          <w:tcPr>
            <w:tcW w:type="dxa" w:w="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C-M7</w:t>
            </w:r>
          </w:p>
        </w:tc>
        <w:tc>
          <w:tcPr>
            <w:tcW w:type="dxa" w:w="5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Implement Data Breach Response Procedure; register with AP breach notification portal</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Pre-launch</w:t>
            </w:r>
          </w:p>
        </w:tc>
      </w:tr>
      <w:tr>
        <w:tc>
          <w:tcPr>
            <w:tcW w:type="dxa" w:w="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C-M8</w:t>
            </w:r>
          </w:p>
        </w:tc>
        <w:tc>
          <w:tcPr>
            <w:tcW w:type="dxa" w:w="5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Draft GDPR Art. 28 Data Processing Agreements for all client contracts (including sub-processor clause for AWS + Anthropic)</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 + legal</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Pre-launch</w:t>
            </w:r>
          </w:p>
        </w:tc>
      </w:tr>
      <w:tr>
        <w:tc>
          <w:tcPr>
            <w:tcW w:type="dxa" w:w="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C-M9</w:t>
            </w:r>
          </w:p>
        </w:tc>
        <w:tc>
          <w:tcPr>
            <w:tcW w:type="dxa" w:w="5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Conduct DPIA for AI-assisted processing pipeline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Pre-launch</w:t>
            </w:r>
          </w:p>
        </w:tc>
      </w:tr>
      <w:tr>
        <w:tc>
          <w:tcPr>
            <w:tcW w:type="dxa" w:w="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C-M10</w:t>
            </w:r>
          </w:p>
        </w:tc>
        <w:tc>
          <w:tcPr>
            <w:tcW w:type="dxa" w:w="5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Create Use of AI Register (Claude deployment scope, tasks, inputs, outputs, oversight mechanisms)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CTO + Head of Compliance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At launch</w:t>
            </w:r>
          </w:p>
        </w:tc>
      </w:tr>
      <w:tr>
        <w:tc>
          <w:tcPr>
            <w:tcW w:type="dxa" w:w="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C-M11</w:t>
            </w:r>
          </w:p>
        </w:tc>
        <w:tc>
          <w:tcPr>
            <w:tcW w:type="dxa" w:w="5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Document and formalise AI Classification Safeguard Policy (re-classification trigger and sign-off process)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At launch</w:t>
            </w:r>
          </w:p>
        </w:tc>
      </w:tr>
      <w:tr>
        <w:tc>
          <w:tcPr>
            <w:tcW w:type="dxa" w:w="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C-M12</w:t>
            </w:r>
          </w:p>
        </w:tc>
        <w:tc>
          <w:tcPr>
            <w:tcW w:type="dxa" w:w="5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Commence ISO 27001 gap assessment and ISMS build</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 + CTO</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Phase 1</w:t>
            </w:r>
          </w:p>
        </w:tc>
      </w:tr>
      <w:tr>
        <w:tc>
          <w:tcPr>
            <w:tcW w:type="dxa" w:w="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C-M13</w:t>
            </w:r>
          </w:p>
        </w:tc>
        <w:tc>
          <w:tcPr>
            <w:tcW w:type="dxa" w:w="5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Register for LEI number for Eagle B.V. (required for client DORA register entries)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CEO / COO</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Before first NL client</w:t>
            </w:r>
          </w:p>
        </w:tc>
      </w:tr>
    </w:tbl>
    <w:p>
      <w:pPr>
        <w:spacing w:before="80" w:after="0"/>
      </w:pPr>
    </w:p>
    <w:p>
      <w:pPr>
        <w:pStyle w:val="Heading2"/>
        <w:spacing w:before="280" w:after="80"/>
      </w:pPr>
      <w:r>
        <w:rPr>
          <w:rFonts w:ascii="Arial" w:cs="Arial" w:eastAsia="Arial" w:hAnsi="Arial"/>
          <w:b/>
          <w:bCs/>
          <w:color w:val="2E5FA3"/>
          <w:sz w:val="26"/>
          <w:szCs w:val="26"/>
        </w:rPr>
        <w:t xml:space="preserve">SHOULD — Phase 1 (within 6 months of launch)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
        <w:gridCol w:w="5200"/>
        <w:gridCol w:w="2000"/>
        <w:gridCol w:w="1800"/>
      </w:tblGrid>
      <w:tr>
        <w:trPr>
          <w:tblHeader/>
        </w:trPr>
        <w:tc>
          <w:tcPr>
            <w:tcW w:type="dxa" w:w="3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120"/>
            </w:tcMar>
          </w:tcPr>
          <w:p>
            <w:pPr>
              <w:spacing w:before="0" w:after="0"/>
            </w:pPr>
            <w:r>
              <w:rPr>
                <w:rFonts w:ascii="Arial" w:cs="Arial" w:eastAsia="Arial" w:hAnsi="Arial"/>
                <w:b/>
                <w:bCs/>
                <w:color w:val="1F3864"/>
                <w:sz w:val="20"/>
                <w:szCs w:val="20"/>
              </w:rPr>
              <w:t xml:space="preserve">#</w:t>
            </w:r>
          </w:p>
        </w:tc>
        <w:tc>
          <w:tcPr>
            <w:tcW w:type="dxa" w:w="52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120"/>
            </w:tcMar>
          </w:tcPr>
          <w:p>
            <w:pPr>
              <w:spacing w:before="0" w:after="0"/>
            </w:pPr>
            <w:r>
              <w:rPr>
                <w:rFonts w:ascii="Arial" w:cs="Arial" w:eastAsia="Arial" w:hAnsi="Arial"/>
                <w:b/>
                <w:bCs/>
                <w:color w:val="1F3864"/>
                <w:sz w:val="20"/>
                <w:szCs w:val="20"/>
              </w:rPr>
              <w:t xml:space="preserve">Action</w:t>
            </w:r>
          </w:p>
        </w:tc>
        <w:tc>
          <w:tcPr>
            <w:tcW w:type="dxa" w:w="20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120"/>
            </w:tcMar>
          </w:tcPr>
          <w:p>
            <w:pPr>
              <w:spacing w:before="0" w:after="0"/>
            </w:pPr>
            <w:r>
              <w:rPr>
                <w:rFonts w:ascii="Arial" w:cs="Arial" w:eastAsia="Arial" w:hAnsi="Arial"/>
                <w:b/>
                <w:bCs/>
                <w:color w:val="1F3864"/>
                <w:sz w:val="20"/>
                <w:szCs w:val="20"/>
              </w:rPr>
              <w:t xml:space="preserve">Owner</w:t>
            </w:r>
          </w:p>
        </w:tc>
        <w:tc>
          <w:tcPr>
            <w:tcW w:type="dxa" w:w="180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120"/>
            </w:tcMar>
          </w:tcPr>
          <w:p>
            <w:pPr>
              <w:spacing w:before="0" w:after="0"/>
            </w:pPr>
            <w:r>
              <w:rPr>
                <w:rFonts w:ascii="Arial" w:cs="Arial" w:eastAsia="Arial" w:hAnsi="Arial"/>
                <w:b/>
                <w:bCs/>
                <w:color w:val="1F3864"/>
                <w:sz w:val="20"/>
                <w:szCs w:val="20"/>
              </w:rPr>
              <w:t xml:space="preserve">Deadline</w:t>
            </w:r>
          </w:p>
        </w:tc>
      </w:tr>
      <w:tr>
        <w:tc>
          <w:tcPr>
            <w:tcW w:type="dxa" w:w="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C-S1</w:t>
            </w:r>
          </w:p>
        </w:tc>
        <w:tc>
          <w:tcPr>
            <w:tcW w:type="dxa" w:w="5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ISO 27001 Stage 1 + Stage 2 certification audit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~12 months post launch</w:t>
            </w:r>
          </w:p>
        </w:tc>
      </w:tr>
      <w:tr>
        <w:tc>
          <w:tcPr>
            <w:tcW w:type="dxa" w:w="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C-S2</w:t>
            </w:r>
          </w:p>
        </w:tc>
        <w:tc>
          <w:tcPr>
            <w:tcW w:type="dxa" w:w="5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Select ISAE 3402 auditor; define control objectives; begin Type I preparation</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Phase 1</w:t>
            </w:r>
          </w:p>
        </w:tc>
      </w:tr>
      <w:tr>
        <w:tc>
          <w:tcPr>
            <w:tcW w:type="dxa" w:w="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C-S3</w:t>
            </w:r>
          </w:p>
        </w:tc>
        <w:tc>
          <w:tcPr>
            <w:tcW w:type="dxa" w:w="5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Assess NIS2 / Cbw registration obligation with NCCb; register if required</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Phase 1</w:t>
            </w:r>
          </w:p>
        </w:tc>
      </w:tr>
      <w:tr>
        <w:tc>
          <w:tcPr>
            <w:tcW w:type="dxa" w:w="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C-S4</w:t>
            </w:r>
          </w:p>
        </w:tc>
        <w:tc>
          <w:tcPr>
            <w:tcW w:type="dxa" w:w="5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Implement CCPA/CPRA compliance for US client CRM contacts (privacy notice, opt-out)</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Before first US client contact</w:t>
            </w:r>
          </w:p>
        </w:tc>
      </w:tr>
      <w:tr>
        <w:tc>
          <w:tcPr>
            <w:tcW w:type="dxa" w:w="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C-S5</w:t>
            </w:r>
          </w:p>
        </w:tc>
        <w:tc>
          <w:tcPr>
            <w:tcW w:type="dxa" w:w="5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Establish AI governance procedure (model monitoring, version log, re-validation cadence)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CTO</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Phase 1</w:t>
            </w:r>
          </w:p>
        </w:tc>
      </w:tr>
      <w:tr>
        <w:tc>
          <w:tcPr>
            <w:tcW w:type="dxa" w:w="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C-S6</w:t>
            </w:r>
          </w:p>
        </w:tc>
        <w:tc>
          <w:tcPr>
            <w:tcW w:type="dxa" w:w="5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Implement supplier security register (AWS, Anthropic, SaaS tools); obtain their certifications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Phase 1</w:t>
            </w:r>
          </w:p>
        </w:tc>
      </w:tr>
      <w:tr>
        <w:tc>
          <w:tcPr>
            <w:tcW w:type="dxa" w:w="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C-S7</w:t>
            </w:r>
          </w:p>
        </w:tc>
        <w:tc>
          <w:tcPr>
            <w:tcW w:type="dxa" w:w="5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Draft and implement all internal policies in Section 9 governance checklist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Phase 1</w:t>
            </w:r>
          </w:p>
        </w:tc>
      </w:tr>
      <w:tr>
        <w:tc>
          <w:tcPr>
            <w:tcW w:type="dxa" w:w="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C-S8</w:t>
            </w:r>
          </w:p>
        </w:tc>
        <w:tc>
          <w:tcPr>
            <w:tcW w:type="dxa" w:w="5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Review AFM/DNB AI supervisory guidance and map to Eagle's AI governance documentation</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Phase 1</w:t>
            </w:r>
          </w:p>
        </w:tc>
      </w:tr>
      <w:tr>
        <w:tc>
          <w:tcPr>
            <w:tcW w:type="dxa" w:w="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C-S9</w:t>
            </w:r>
          </w:p>
        </w:tc>
        <w:tc>
          <w:tcPr>
            <w:tcW w:type="dxa" w:w="5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Establish DORA indirect exposure tracking: maintain internal record of client DORA register entries naming Eagle; monitor ESA CTPP designation register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Phase 1</w:t>
            </w:r>
          </w:p>
        </w:tc>
      </w:tr>
    </w:tbl>
    <w:p>
      <w:pPr>
        <w:spacing w:before="80" w:after="0"/>
      </w:pPr>
    </w:p>
    <w:p>
      <w:pPr>
        <w:pStyle w:val="Heading2"/>
        <w:spacing w:before="280" w:after="80"/>
      </w:pPr>
      <w:r>
        <w:rPr>
          <w:rFonts w:ascii="Arial" w:cs="Arial" w:eastAsia="Arial" w:hAnsi="Arial"/>
          <w:b/>
          <w:bCs/>
          <w:color w:val="2E5FA3"/>
          <w:sz w:val="26"/>
          <w:szCs w:val="26"/>
        </w:rPr>
        <w:t xml:space="preserve">COULD — Phase 2</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
        <w:gridCol w:w="5200"/>
        <w:gridCol w:w="2000"/>
        <w:gridCol w:w="1800"/>
      </w:tblGrid>
      <w:tr>
        <w:trPr>
          <w:tblHeader/>
        </w:trPr>
        <w:tc>
          <w:tcPr>
            <w:tcW w:type="dxa" w:w="300"/>
            <w:tcBorders>
              <w:top w:val="single" w:color="BBBBBB" w:sz="1"/>
              <w:left w:val="single" w:color="BBBBBB" w:sz="1"/>
              <w:bottom w:val="single" w:color="BBBBBB" w:sz="1"/>
              <w:right w:val="single" w:color="BBBBBB" w:sz="1"/>
            </w:tcBorders>
            <w:shd w:fill="005F6B" w:val="clear"/>
            <w:tcMar>
              <w:top w:type="dxa" w:w="80"/>
              <w:left w:type="dxa" w:w="120"/>
              <w:bottom w:type="dxa" w:w="80"/>
              <w:right w:type="dxa" w:w="120"/>
            </w:tcMar>
          </w:tcPr>
          <w:p>
            <w:pPr>
              <w:spacing w:before="0" w:after="0"/>
            </w:pPr>
            <w:r>
              <w:rPr>
                <w:rFonts w:ascii="Arial" w:cs="Arial" w:eastAsia="Arial" w:hAnsi="Arial"/>
                <w:b/>
                <w:bCs/>
                <w:color w:val="1F3864"/>
                <w:sz w:val="20"/>
                <w:szCs w:val="20"/>
              </w:rPr>
              <w:t xml:space="preserve">#</w:t>
            </w:r>
          </w:p>
        </w:tc>
        <w:tc>
          <w:tcPr>
            <w:tcW w:type="dxa" w:w="5200"/>
            <w:tcBorders>
              <w:top w:val="single" w:color="BBBBBB" w:sz="1"/>
              <w:left w:val="single" w:color="BBBBBB" w:sz="1"/>
              <w:bottom w:val="single" w:color="BBBBBB" w:sz="1"/>
              <w:right w:val="single" w:color="BBBBBB" w:sz="1"/>
            </w:tcBorders>
            <w:shd w:fill="005F6B" w:val="clear"/>
            <w:tcMar>
              <w:top w:type="dxa" w:w="80"/>
              <w:left w:type="dxa" w:w="120"/>
              <w:bottom w:type="dxa" w:w="80"/>
              <w:right w:type="dxa" w:w="120"/>
            </w:tcMar>
          </w:tcPr>
          <w:p>
            <w:pPr>
              <w:spacing w:before="0" w:after="0"/>
            </w:pPr>
            <w:r>
              <w:rPr>
                <w:rFonts w:ascii="Arial" w:cs="Arial" w:eastAsia="Arial" w:hAnsi="Arial"/>
                <w:b/>
                <w:bCs/>
                <w:color w:val="1F3864"/>
                <w:sz w:val="20"/>
                <w:szCs w:val="20"/>
              </w:rPr>
              <w:t xml:space="preserve">Action</w:t>
            </w:r>
          </w:p>
        </w:tc>
        <w:tc>
          <w:tcPr>
            <w:tcW w:type="dxa" w:w="2000"/>
            <w:tcBorders>
              <w:top w:val="single" w:color="BBBBBB" w:sz="1"/>
              <w:left w:val="single" w:color="BBBBBB" w:sz="1"/>
              <w:bottom w:val="single" w:color="BBBBBB" w:sz="1"/>
              <w:right w:val="single" w:color="BBBBBB" w:sz="1"/>
            </w:tcBorders>
            <w:shd w:fill="005F6B" w:val="clear"/>
            <w:tcMar>
              <w:top w:type="dxa" w:w="80"/>
              <w:left w:type="dxa" w:w="120"/>
              <w:bottom w:type="dxa" w:w="80"/>
              <w:right w:type="dxa" w:w="120"/>
            </w:tcMar>
          </w:tcPr>
          <w:p>
            <w:pPr>
              <w:spacing w:before="0" w:after="0"/>
            </w:pPr>
            <w:r>
              <w:rPr>
                <w:rFonts w:ascii="Arial" w:cs="Arial" w:eastAsia="Arial" w:hAnsi="Arial"/>
                <w:b/>
                <w:bCs/>
                <w:color w:val="1F3864"/>
                <w:sz w:val="20"/>
                <w:szCs w:val="20"/>
              </w:rPr>
              <w:t xml:space="preserve">Owner</w:t>
            </w:r>
          </w:p>
        </w:tc>
        <w:tc>
          <w:tcPr>
            <w:tcW w:type="dxa" w:w="1800"/>
            <w:tcBorders>
              <w:top w:val="single" w:color="BBBBBB" w:sz="1"/>
              <w:left w:val="single" w:color="BBBBBB" w:sz="1"/>
              <w:bottom w:val="single" w:color="BBBBBB" w:sz="1"/>
              <w:right w:val="single" w:color="BBBBBB" w:sz="1"/>
            </w:tcBorders>
            <w:shd w:fill="005F6B" w:val="clear"/>
            <w:tcMar>
              <w:top w:type="dxa" w:w="80"/>
              <w:left w:type="dxa" w:w="120"/>
              <w:bottom w:type="dxa" w:w="80"/>
              <w:right w:type="dxa" w:w="120"/>
            </w:tcMar>
          </w:tcPr>
          <w:p>
            <w:pPr>
              <w:spacing w:before="0" w:after="0"/>
            </w:pPr>
            <w:r>
              <w:rPr>
                <w:rFonts w:ascii="Arial" w:cs="Arial" w:eastAsia="Arial" w:hAnsi="Arial"/>
                <w:b/>
                <w:bCs/>
                <w:color w:val="1F3864"/>
                <w:sz w:val="20"/>
                <w:szCs w:val="20"/>
              </w:rPr>
              <w:t xml:space="preserve">Deadline</w:t>
            </w:r>
          </w:p>
        </w:tc>
      </w:tr>
      <w:tr>
        <w:tc>
          <w:tcPr>
            <w:tcW w:type="dxa" w:w="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C-C1</w:t>
            </w:r>
          </w:p>
        </w:tc>
        <w:tc>
          <w:tcPr>
            <w:tcW w:type="dxa" w:w="5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ISAE 3402 Type II certification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18 months post first client</w:t>
            </w:r>
          </w:p>
        </w:tc>
      </w:tr>
      <w:tr>
        <w:tc>
          <w:tcPr>
            <w:tcW w:type="dxa" w:w="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C-C2</w:t>
            </w:r>
          </w:p>
        </w:tc>
        <w:tc>
          <w:tcPr>
            <w:tcW w:type="dxa" w:w="5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SOC 2 Type I (if US client volume justifies)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Phase 2</w:t>
            </w:r>
          </w:p>
        </w:tc>
      </w:tr>
      <w:tr>
        <w:tc>
          <w:tcPr>
            <w:tcW w:type="dxa" w:w="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C-C3</w:t>
            </w:r>
          </w:p>
        </w:tc>
        <w:tc>
          <w:tcPr>
            <w:tcW w:type="dxa" w:w="5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ISO 27001 first surveillance audit (12 months after initial certification)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Ongoing</w:t>
            </w:r>
          </w:p>
        </w:tc>
      </w:tr>
      <w:tr>
        <w:tc>
          <w:tcPr>
            <w:tcW w:type="dxa" w:w="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C-C4</w:t>
            </w:r>
          </w:p>
        </w:tc>
        <w:tc>
          <w:tcPr>
            <w:tcW w:type="dxa" w:w="5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CTPP readiness assessment: evaluate gap between current controls and CTPP oversight requirements; prepare TLPT framework</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CTO + Head of Compliance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Phase 2 or when CTPP risk increases</w:t>
            </w:r>
          </w:p>
        </w:tc>
      </w:tr>
      <w:tr>
        <w:tc>
          <w:tcPr>
            <w:tcW w:type="dxa" w:w="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C-C5</w:t>
            </w:r>
          </w:p>
        </w:tc>
        <w:tc>
          <w:tcPr>
            <w:tcW w:type="dxa" w:w="5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Review UAVG Art. 27 works council obligations as headcount grows toward 50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CEO + Head of Compliance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When approaching 50 FTE</w:t>
            </w:r>
          </w:p>
        </w:tc>
      </w:tr>
      <w:tr>
        <w:tc>
          <w:tcPr>
            <w:tcW w:type="dxa" w:w="3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C-C6</w:t>
            </w:r>
          </w:p>
        </w:tc>
        <w:tc>
          <w:tcPr>
            <w:tcW w:type="dxa" w:w="5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EU AI Liability Directive — assess impact when adopted</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Head of Compliance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before="0" w:after="0"/>
            </w:pPr>
            <w:r>
              <w:rPr>
                <w:rFonts w:ascii="Arial" w:cs="Arial" w:eastAsia="Arial" w:hAnsi="Arial"/>
                <w:b w:val="false"/>
                <w:bCs w:val="false"/>
                <w:color w:val="000000"/>
                <w:sz w:val="20"/>
                <w:szCs w:val="20"/>
              </w:rPr>
              <w:t xml:space="preserve">When directive enters force</w:t>
            </w:r>
          </w:p>
        </w:tc>
      </w:tr>
    </w:tbl>
    <w:p>
      <w:pPr>
        <w:spacing w:before="80" w:after="0"/>
      </w:pPr>
    </w:p>
    <w:p>
      <w:pPr>
        <w:pStyle w:val="Heading1"/>
        <w:pBdr>
          <w:bottom w:val="single" w:color="2E5FA3" w:sz="6" w:space="4"/>
        </w:pBdr>
        <w:spacing w:before="360" w:after="120"/>
      </w:pPr>
      <w:r>
        <w:rPr>
          <w:rFonts w:ascii="Arial" w:cs="Arial" w:eastAsia="Arial" w:hAnsi="Arial"/>
          <w:b/>
          <w:bCs/>
          <w:color w:val="4A235A"/>
          <w:sz w:val="32"/>
          <w:szCs w:val="32"/>
        </w:rPr>
        <w:t xml:space="preserve">11.  Closing Note</w:t>
      </w:r>
    </w:p>
    <w:p>
      <w:pPr>
        <w:spacing w:before="40" w:after="40"/>
      </w:pPr>
      <w:r>
        <w:rPr>
          <w:rFonts w:ascii="Arial" w:cs="Arial" w:eastAsia="Arial" w:hAnsi="Arial"/>
          <w:color w:val="000000"/>
          <w:sz w:val="22"/>
          <w:szCs w:val="22"/>
        </w:rPr>
        <w:t xml:space="preserve">Eagle's entity-level compliance programme has a clear architecture: licensing clarity (legal opinion) → data protection foundations (GDPR/UAVG) → security framework (ISO 27001 ISMS) → external assurance (ISAE 3402). These are not independent tracks — they build sequentially.</w:t>
      </w:r>
    </w:p>
    <w:p>
      <w:pPr>
        <w:spacing w:before="80" w:after="0"/>
      </w:pPr>
    </w:p>
    <w:p>
      <w:pPr>
        <w:spacing w:before="40" w:after="40"/>
      </w:pPr>
      <w:r>
        <w:rPr>
          <w:rFonts w:ascii="Arial" w:cs="Arial" w:eastAsia="Arial" w:hAnsi="Arial"/>
          <w:color w:val="000000"/>
          <w:sz w:val="22"/>
          <w:szCs w:val="22"/>
        </w:rPr>
        <w:t xml:space="preserve">The DORA indirect exposure and CTPP risk section (Section 6.4) is new to this version. It reflects an important strategic reality: Eagle already operates as a component of regulated infrastructure and must be governed accordingly. The good news is that Eagle's design principles already produce a control environment aligned with CTPP standards — the primary task is maintaining discipline and monitoring the designation register as scale increases.</w:t>
      </w:r>
    </w:p>
    <w:p>
      <w:pPr>
        <w:spacing w:before="80" w:after="0"/>
      </w:pPr>
    </w:p>
    <w:p>
      <w:pPr>
        <w:spacing w:before="40" w:after="40"/>
      </w:pPr>
      <w:r>
        <w:rPr>
          <w:rFonts w:ascii="Arial" w:cs="Arial" w:eastAsia="Arial" w:hAnsi="Arial"/>
          <w:color w:val="000000"/>
          <w:sz w:val="22"/>
          <w:szCs w:val="22"/>
        </w:rPr>
        <w:t xml:space="preserve">The most time-critical entity-level item remains the Anthropic DPA (C-M2). It requires only execution and should be completed this week. The legal opinion (C-M1) is the highest-value professional spend before launch and should be commissioned immediately.</w:t>
      </w:r>
    </w:p>
    <w:p>
      <w:pPr>
        <w:spacing w:before="80" w:after="0"/>
      </w:pPr>
    </w:p>
    <w:tbl>
      <w:tblPr>
        <w:tblW w:type="dxa" w:w="9200"/>
        <w:tblBorders>
          <w:top w:val="none"/>
          <w:left w:val="none"/>
          <w:bottom w:val="none"/>
          <w:right w:val="none"/>
          <w:insideH w:val="single" w:color="auto" w:sz="4"/>
          <w:insideV w:val="single" w:color="auto" w:sz="4"/>
        </w:tblBorders>
      </w:tblPr>
      <w:tblGrid>
        <w:gridCol w:w="180"/>
        <w:gridCol w:w="9020"/>
      </w:tblGrid>
      <w:tr>
        <w:tc>
          <w:tcPr>
            <w:tcW w:type="dxa" w:w="180"/>
            <w:tcBorders>
              <w:top w:val="none"/>
              <w:left w:val="single" w:color="595959" w:sz="18"/>
              <w:bottom w:val="none"/>
              <w:right w:val="none"/>
            </w:tcBorders>
            <w:shd w:fill="F2F2F2" w:val="clear"/>
            <w:tcMar>
              <w:top w:type="dxa" w:w="80"/>
              <w:left w:type="dxa" w:w="160"/>
              <w:bottom w:type="dxa" w:w="80"/>
              <w:right w:type="dxa" w:w="80"/>
            </w:tcMar>
          </w:tcPr>
          <w:p/>
        </w:tc>
        <w:tc>
          <w:tcPr>
            <w:tcW w:type="dxa" w:w="9020"/>
            <w:tcBorders>
              <w:top w:val="single" w:color="BBBBBB" w:sz="1"/>
              <w:left w:val="single" w:color="BBBBBB" w:sz="1"/>
              <w:bottom w:val="single" w:color="BBBBBB" w:sz="1"/>
              <w:right w:val="single" w:color="BBBBBB" w:sz="1"/>
            </w:tcBorders>
            <w:shd w:fill="F2F2F2" w:val="clear"/>
            <w:tcMar>
              <w:top w:type="dxa" w:w="100"/>
              <w:left w:type="dxa" w:w="160"/>
              <w:bottom w:type="dxa" w:w="100"/>
              <w:right w:type="dxa" w:w="160"/>
            </w:tcMar>
          </w:tcPr>
          <w:p>
            <w:pPr>
              <w:spacing w:before="0" w:after="0"/>
            </w:pPr>
            <w:r>
              <w:rPr>
                <w:rFonts w:ascii="Arial" w:cs="Arial" w:eastAsia="Arial" w:hAnsi="Arial"/>
                <w:color w:val="000000"/>
                <w:sz w:val="21"/>
                <w:szCs w:val="21"/>
              </w:rPr>
              <w:t xml:space="preserve">This document covers entity-level obligations only. For product-specific regulatory and technical obligations — AIFMD, DQEF, DORA contract provisions, CSSF Circular 25/882, AI Act product obligations, and certification as a commercial requirement — refer to the companion Product Compliance document.</w:t>
            </w:r>
          </w:p>
        </w:tc>
      </w:tr>
    </w:tbl>
    <w:p>
      <w:pPr>
        <w:spacing w:before="160" w:after="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235A" w:sz="4" w:space="4"/>
      </w:pBdr>
      <w:spacing w:before="80" w:after="0"/>
      <w:jc w:val="right"/>
    </w:pPr>
    <w:r>
      <w:rPr>
        <w:rFonts w:ascii="Arial" w:cs="Arial" w:eastAsia="Arial" w:hAnsi="Arial"/>
        <w:color w:val="595959"/>
        <w:sz w:val="18"/>
        <w:szCs w:val="18"/>
      </w:rPr>
      <w:t xml:space="preserve">Internal use only  |  March 2026  |  Not legal advice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235A" w:sz="4" w:space="4"/>
      </w:pBdr>
      <w:spacing w:before="0" w:after="80"/>
    </w:pPr>
    <w:r>
      <w:rPr>
        <w:rFonts w:ascii="Arial" w:cs="Arial" w:eastAsia="Arial" w:hAnsi="Arial"/>
        <w:color w:val="595959"/>
        <w:sz w:val="18"/>
        <w:szCs w:val="18"/>
      </w:rPr>
      <w:t xml:space="preserve">PROJECT EAGLE  |  Company Compliance  v2.0</w:t>
    </w:r>
    <w:r>
      <w:rPr>
        <w:rFonts w:ascii="Arial" w:cs="Arial" w:eastAsia="Arial" w:hAnsi="Arial"/>
        <w:b/>
        <w:bCs/>
        <w:color w:val="C0000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20"/>
      <w:outlineLvl w:val="0"/>
    </w:pPr>
    <w:rPr>
      <w:rFonts w:ascii="Arial" w:cs="Arial" w:eastAsia="Arial" w:hAnsi="Arial"/>
      <w:b/>
      <w:bCs/>
      <w:color w:val="1F3864"/>
      <w:sz w:val="32"/>
      <w:szCs w:val="32"/>
    </w:rPr>
  </w:style>
  <w:style w:type="paragraph" w:styleId="Heading2">
    <w:name w:val="Heading 2"/>
    <w:basedOn w:val="Normal"/>
    <w:next w:val="Normal"/>
    <w:pPr>
      <w:spacing w:before="280" w:after="80"/>
      <w:outlineLvl w:val="1"/>
    </w:pPr>
    <w:rPr>
      <w:rFonts w:ascii="Arial" w:cs="Arial" w:eastAsia="Arial" w:hAnsi="Arial"/>
      <w:b/>
      <w:bCs/>
      <w:color w:val="2E5FA3"/>
      <w:sz w:val="26"/>
      <w:szCs w:val="26"/>
    </w:rPr>
  </w:style>
  <w:style w:type="paragraph" w:styleId="Heading3">
    <w:name w:val="Heading 3"/>
    <w:basedOn w:val="Normal"/>
    <w:next w:val="Normal"/>
    <w:pPr>
      <w:spacing w:before="200" w:after="6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2026-03-21T11:38:05.446Z</dcterms:created>
  <dcterms:modified xsi:type="dcterms:W3CDTF">2026-03-21T11:38:05.446Z</dcterms:modified>
</cp:coreProperties>
</file>

<file path=docProps/custom.xml><?xml version="1.0" encoding="utf-8"?>
<Properties xmlns="http://schemas.openxmlformats.org/officeDocument/2006/custom-properties" xmlns:vt="http://schemas.openxmlformats.org/officeDocument/2006/docPropsVTypes"/>
</file>