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p>
      <w:pPr>
        <w:spacing w:before="0" w:after="120"/>
        <w:jc w:val="center"/>
      </w:pPr>
      <w:r>
        <w:rPr>
          <w:rFonts w:ascii="Arial" w:cs="Arial" w:eastAsia="Arial" w:hAnsi="Arial"/>
          <w:b/>
          <w:bCs/>
          <w:color w:val="1F3864"/>
          <w:sz w:val="56"/>
          <w:szCs w:val="56"/>
        </w:rPr>
        <w:t xml:space="preserve">PROJECT EAGLE</w:t>
      </w:r>
    </w:p>
    <w:p>
      <w:pPr>
        <w:spacing w:before="0" w:after="80"/>
        <w:jc w:val="center"/>
      </w:pPr>
      <w:r>
        <w:rPr>
          <w:rFonts w:ascii="Arial" w:cs="Arial" w:eastAsia="Arial" w:hAnsi="Arial"/>
          <w:color w:val="2E5FA3"/>
          <w:sz w:val="38"/>
          <w:szCs w:val="38"/>
        </w:rPr>
        <w:t xml:space="preserve">Product Compliance</w:t>
      </w:r>
    </w:p>
    <w:p>
      <w:pPr>
        <w:spacing w:before="0" w:after="80"/>
        <w:jc w:val="center"/>
      </w:pPr>
      <w:r>
        <w:rPr>
          <w:rFonts w:ascii="Arial" w:cs="Arial" w:eastAsia="Arial" w:hAnsi="Arial"/>
          <w:i/>
          <w:iCs/>
          <w:color w:val="595959"/>
          <w:sz w:val="22"/>
          <w:szCs w:val="22"/>
        </w:rPr>
        <w:t xml:space="preserve">Regulatory obligations governing the Annex IV reporting service</w:t>
      </w:r>
    </w:p>
    <w:p>
      <w:pPr>
        <w:spacing w:before="0" w:after="160"/>
        <w:jc w:val="center"/>
      </w:pPr>
      <w:r>
        <w:rPr>
          <w:rFonts w:ascii="Arial" w:cs="Arial" w:eastAsia="Arial" w:hAnsi="Arial"/>
          <w:color w:val="595959"/>
          <w:sz w:val="22"/>
          <w:szCs w:val="22"/>
        </w:rPr>
        <w:t xml:space="preserve">Version 2.0  |  March 2026  |  Confidential</w:t>
      </w:r>
    </w:p>
    <w:p>
      <w:pPr>
        <w:pBdr>
          <w:bottom w:val="single" w:color="CCCCCC" w:sz="2" w:space="4"/>
        </w:pBdr>
        <w:spacing w:before="80"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6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Details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Entity</w:t>
            </w:r>
          </w:p>
        </w:tc>
        <w:tc>
          <w:tcPr>
            <w:tcW w:type="dxa" w:w="6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Project Eagle B.V. (Netherlands)</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Infrastructure</w:t>
            </w:r>
          </w:p>
        </w:tc>
        <w:tc>
          <w:tcPr>
            <w:tcW w:type="dxa" w:w="6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AWS — EU regions only</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AI model</w:t>
            </w:r>
          </w:p>
        </w:tc>
        <w:tc>
          <w:tcPr>
            <w:tcW w:type="dxa" w:w="6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Anthropic — Claude API</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EU client base</w:t>
            </w:r>
          </w:p>
        </w:tc>
        <w:tc>
          <w:tcPr>
            <w:tcW w:type="dxa" w:w="6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EU-authorised AIFMs and AIFMD service providers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Non-EU clients</w:t>
            </w:r>
          </w:p>
        </w:tc>
        <w:tc>
          <w:tcPr>
            <w:tcW w:type="dxa" w:w="6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UK and US managers of EU-domiciled funds (EU regulatory reporting only)</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Key NCA markets</w:t>
            </w:r>
          </w:p>
        </w:tc>
        <w:tc>
          <w:tcPr>
            <w:tcW w:type="dxa" w:w="6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AFM (Netherlands) · CSSF (Luxembourg)</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Document scope</w:t>
            </w:r>
          </w:p>
        </w:tc>
        <w:tc>
          <w:tcPr>
            <w:tcW w:type="dxa" w:w="6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Obligations on the product/service delivered to clients</w:t>
            </w:r>
          </w:p>
        </w:tc>
      </w:tr>
    </w:tbl>
    <w:p>
      <w:pPr>
        <w:spacing w:before="80" w:after="0"/>
      </w:pPr>
    </w:p>
    <w:tbl>
      <w:tblPr>
        <w:tblW w:type="dxa" w:w="9200"/>
        <w:tblBorders>
          <w:top w:val="none"/>
          <w:left w:val="none"/>
          <w:bottom w:val="none"/>
          <w:right w:val="none"/>
          <w:insideH w:val="single" w:color="auto" w:sz="4"/>
          <w:insideV w:val="single" w:color="auto" w:sz="4"/>
        </w:tblBorders>
      </w:tblPr>
      <w:tblGrid>
        <w:gridCol w:w="180"/>
        <w:gridCol w:w="9020"/>
      </w:tblGrid>
      <w:tr>
        <w:tc>
          <w:tcPr>
            <w:tcW w:type="dxa" w:w="180"/>
            <w:tcBorders>
              <w:top w:val="none"/>
              <w:left w:val="single" w:color="C00000" w:sz="18"/>
              <w:bottom w:val="none"/>
              <w:right w:val="none"/>
            </w:tcBorders>
            <w:shd w:fill="FADADD" w:val="clear"/>
            <w:tcMar>
              <w:top w:type="dxa" w:w="80"/>
              <w:left w:type="dxa" w:w="160"/>
              <w:bottom w:type="dxa" w:w="80"/>
              <w:right w:type="dxa" w:w="80"/>
            </w:tcMar>
          </w:tcPr>
          <w:p/>
        </w:tc>
        <w:tc>
          <w:tcPr>
            <w:tcW w:type="dxa" w:w="9020"/>
            <w:tcBorders>
              <w:top w:val="single" w:color="BBBBBB" w:sz="1"/>
              <w:left w:val="single" w:color="BBBBBB" w:sz="1"/>
              <w:bottom w:val="single" w:color="BBBBBB" w:sz="1"/>
              <w:right w:val="single" w:color="BBBBBB" w:sz="1"/>
            </w:tcBorders>
            <w:shd w:fill="FADADD" w:val="clear"/>
            <w:tcMar>
              <w:top w:type="dxa" w:w="100"/>
              <w:left w:type="dxa" w:w="160"/>
              <w:bottom w:type="dxa" w:w="100"/>
              <w:right w:type="dxa" w:w="160"/>
            </w:tcMar>
          </w:tcPr>
          <w:p>
            <w:pPr>
              <w:spacing w:before="0" w:after="0"/>
            </w:pPr>
            <w:r>
              <w:rPr>
                <w:rFonts w:ascii="Arial" w:cs="Arial" w:eastAsia="Arial" w:hAnsi="Arial"/>
                <w:color w:val="000000"/>
                <w:sz w:val="21"/>
                <w:szCs w:val="21"/>
              </w:rPr>
              <w:t xml:space="preserve">THREE PRE-LAUNCH BLOCKERS: (1) Legal opinion on Wft/AFM licensing status — see Section 3 of the Company document. (2) DORA-compliant standard contract with CSSF and AFM-specific requirements — Section 5. (3) Anthropic DPA with SCCs and Transfer Impact Assessment — Section 6.</w:t>
            </w:r>
          </w:p>
        </w:tc>
      </w:tr>
    </w:tbl>
    <w:p>
      <w:r>
        <w:br w:type="page"/>
      </w:r>
    </w:p>
    <w:p>
      <w:pPr>
        <w:pStyle w:val="Heading1"/>
        <w:pBdr>
          <w:bottom w:val="single" w:color="2E5FA3" w:sz="6" w:space="4"/>
        </w:pBdr>
        <w:spacing w:before="360" w:after="120"/>
      </w:pPr>
      <w:r>
        <w:rPr>
          <w:rFonts w:ascii="Arial" w:cs="Arial" w:eastAsia="Arial" w:hAnsi="Arial"/>
          <w:b/>
          <w:bCs/>
          <w:color w:val="1F3864"/>
          <w:sz w:val="32"/>
          <w:szCs w:val="32"/>
        </w:rPr>
        <w:t xml:space="preserve">1.  How to Read This Document</w:t>
      </w:r>
    </w:p>
    <w:p>
      <w:pPr>
        <w:spacing w:before="40" w:after="40"/>
      </w:pPr>
      <w:r>
        <w:rPr>
          <w:rFonts w:ascii="Arial" w:cs="Arial" w:eastAsia="Arial" w:hAnsi="Arial"/>
          <w:color w:val="000000"/>
          <w:sz w:val="22"/>
          <w:szCs w:val="22"/>
        </w:rPr>
        <w:t xml:space="preserve">This document covers every regulatory and technical obligation that attaches to the product Project Eagle delivers to clients: the Annex IV regulatory reporting service. It is structured from the reporting framework inward (what the product must produce), through the service relationship framework (how it must be delivered), to the AI obligations (how the technology must be governed).</w:t>
      </w:r>
    </w:p>
    <w:p>
      <w:pPr>
        <w:spacing w:before="8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600"/>
      </w:tblGrid>
      <w:tr>
        <w:trPr>
          <w:tblHeader/>
        </w:trPr>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Priority</w:t>
            </w:r>
          </w:p>
        </w:tc>
        <w:tc>
          <w:tcPr>
            <w:tcW w:type="dxa" w:w="5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Meaning</w:t>
            </w:r>
          </w:p>
        </w:tc>
        <w:tc>
          <w:tcPr>
            <w:tcW w:type="dxa" w:w="2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Timing</w:t>
            </w:r>
          </w:p>
        </w:tc>
      </w:tr>
      <w:tr>
        <w:tc>
          <w:tcPr>
            <w:tcW w:type="dxa" w:w="12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c>
          <w:tcPr>
            <w:tcW w:type="dxa" w:w="5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Non-negotiable. Non-compliance blocks operation or client acquisition.</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Pre-launch or immediately</w:t>
            </w:r>
          </w:p>
        </w:tc>
      </w:tr>
      <w:tr>
        <w:tc>
          <w:tcPr>
            <w:tcW w:type="dxa" w:w="1200"/>
            <w:tcBorders>
              <w:top w:val="single" w:color="BBBBBB" w:sz="1"/>
              <w:left w:val="single" w:color="BBBBBB" w:sz="1"/>
              <w:bottom w:val="single" w:color="BBBBBB" w:sz="1"/>
              <w:right w:val="single" w:color="BBBBBB" w:sz="1"/>
            </w:tcBorders>
            <w:shd w:fill="A0522D"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SHOULD</w:t>
            </w:r>
          </w:p>
        </w:tc>
        <w:tc>
          <w:tcPr>
            <w:tcW w:type="dxa" w:w="5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Important. High risk if deferred. Needed for Phase 1 commercial success.</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Phase 1 (within 6 months)</w:t>
            </w:r>
          </w:p>
        </w:tc>
      </w:tr>
      <w:tr>
        <w:tc>
          <w:tcPr>
            <w:tcW w:type="dxa" w:w="1200"/>
            <w:tcBorders>
              <w:top w:val="single" w:color="BBBBBB" w:sz="1"/>
              <w:left w:val="single" w:color="BBBBBB" w:sz="1"/>
              <w:bottom w:val="single" w:color="BBBBBB" w:sz="1"/>
              <w:right w:val="single" w:color="BBBBBB" w:sz="1"/>
            </w:tcBorders>
            <w:shd w:fill="005F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COULD</w:t>
            </w:r>
          </w:p>
        </w:tc>
        <w:tc>
          <w:tcPr>
            <w:tcW w:type="dxa" w:w="5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Beneficial. Acceptable to defer without immediate business harm.</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Phase 2</w:t>
            </w:r>
          </w:p>
        </w:tc>
      </w:tr>
      <w:tr>
        <w:tc>
          <w:tcPr>
            <w:tcW w:type="dxa" w:w="1200"/>
            <w:tcBorders>
              <w:top w:val="single" w:color="BBBBBB" w:sz="1"/>
              <w:left w:val="single" w:color="BBBBBB" w:sz="1"/>
              <w:bottom w:val="single" w:color="BBBBBB" w:sz="1"/>
              <w:right w:val="single" w:color="BBBBBB" w:sz="1"/>
            </w:tcBorders>
            <w:shd w:fill="59595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WON'T</w:t>
            </w:r>
          </w:p>
        </w:tc>
        <w:tc>
          <w:tcPr>
            <w:tcW w:type="dxa" w:w="5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Out of scope now. Documented for future reference.</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Not applicable</w:t>
            </w:r>
          </w:p>
        </w:tc>
      </w:tr>
    </w:tbl>
    <w:p>
      <w:pPr>
        <w:spacing w:before="80" w:after="0"/>
      </w:pPr>
    </w:p>
    <w:p>
      <w:pPr>
        <w:pStyle w:val="Heading1"/>
        <w:pBdr>
          <w:bottom w:val="single" w:color="2E5FA3" w:sz="6" w:space="4"/>
        </w:pBdr>
        <w:spacing w:before="360" w:after="120"/>
      </w:pPr>
      <w:r>
        <w:rPr>
          <w:rFonts w:ascii="Arial" w:cs="Arial" w:eastAsia="Arial" w:hAnsi="Arial"/>
          <w:b/>
          <w:bCs/>
          <w:color w:val="1F3864"/>
          <w:sz w:val="32"/>
          <w:szCs w:val="32"/>
        </w:rPr>
        <w:t xml:space="preserve">2.  Product Regulatory Landscape — Summary</w:t>
      </w:r>
    </w:p>
    <w:p>
      <w:pPr>
        <w:spacing w:before="80" w:after="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200"/>
        <w:gridCol w:w="3000"/>
      </w:tblGrid>
      <w:tr>
        <w:trPr>
          <w:tblHeader/>
        </w:trPr>
        <w:tc>
          <w:tcPr>
            <w:tcW w:type="dxa" w:w="3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Framework</w:t>
            </w:r>
          </w:p>
        </w:tc>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Nature</w:t>
            </w:r>
          </w:p>
        </w:tc>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MoSCoW</w:t>
            </w:r>
          </w:p>
        </w:tc>
        <w:tc>
          <w:tcPr>
            <w:tcW w:type="dxa" w:w="3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Note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AIFMD (2011/61/EU) + CDR 231/2013</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EU Directive + Regulation</w:t>
            </w:r>
          </w:p>
        </w:tc>
        <w:tc>
          <w:tcPr>
            <w:tcW w:type="dxa" w:w="12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Core legal basis for the product</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AIFMD 2.0 (2024/927/EU)</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EU Directive amendment</w:t>
            </w:r>
          </w:p>
        </w:tc>
        <w:tc>
          <w:tcPr>
            <w:tcW w:type="dxa" w:w="12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NL/LU deadline 16 Apr 2026 — imminent</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ESMA DQEF (May 2025)</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ESMA technical framework</w:t>
            </w:r>
          </w:p>
        </w:tc>
        <w:tc>
          <w:tcPr>
            <w:tcW w:type="dxa" w:w="12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Defines NCA acceptance/rejection logic</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ESMA Guidelines (2014/869rev)</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Quasi-binding guidance</w:t>
            </w:r>
          </w:p>
        </w:tc>
        <w:tc>
          <w:tcPr>
            <w:tcW w:type="dxa" w:w="12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NCA acceptance criteria derived from this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DORA Art. 30 contract provisions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EU Regulation</w:t>
            </w:r>
          </w:p>
        </w:tc>
        <w:tc>
          <w:tcPr>
            <w:tcW w:type="dxa" w:w="12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Required by every AIFM client</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AFM-specific DORA requirements</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National supervision (NL)</w:t>
            </w:r>
          </w:p>
        </w:tc>
        <w:tc>
          <w:tcPr>
            <w:tcW w:type="dxa" w:w="12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Eagle appears in every NL client's DORA register</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CSSF Circular 25/882</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National supervision (LU)</w:t>
            </w:r>
          </w:p>
        </w:tc>
        <w:tc>
          <w:tcPr>
            <w:tcW w:type="dxa" w:w="12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ICT third-party register + notification requirements</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EU AI Act — GPAI deployer obligations</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EU Regulation</w:t>
            </w:r>
          </w:p>
        </w:tc>
        <w:tc>
          <w:tcPr>
            <w:tcW w:type="dxa" w:w="12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In force Aug 2025. Use of AI Register, transparency disclosures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ESMA/EBA AI guidance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Supervisory guidance</w:t>
            </w:r>
          </w:p>
        </w:tc>
        <w:tc>
          <w:tcPr>
            <w:tcW w:type="dxa" w:w="12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Client due diligence standard for AI tools</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ISAE 3402 Type I</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Professional assurance standard</w:t>
            </w:r>
          </w:p>
        </w:tc>
        <w:tc>
          <w:tcPr>
            <w:tcW w:type="dxa" w:w="12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Already in prospect RFPs — commercial blocker without it</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ISO 27001 certification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International standard</w:t>
            </w:r>
          </w:p>
        </w:tc>
        <w:tc>
          <w:tcPr>
            <w:tcW w:type="dxa" w:w="1200"/>
            <w:tcBorders>
              <w:top w:val="single" w:color="BBBBBB" w:sz="1"/>
              <w:left w:val="single" w:color="BBBBBB" w:sz="1"/>
              <w:bottom w:val="single" w:color="BBBBBB" w:sz="1"/>
              <w:right w:val="single" w:color="BBBBBB" w:sz="1"/>
            </w:tcBorders>
            <w:shd w:fill="A0522D"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SHOULD</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Foundation for ISAE 3402 + security RFP responses</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Contractual liability framework</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Commercial/legal</w:t>
            </w:r>
          </w:p>
        </w:tc>
        <w:tc>
          <w:tcPr>
            <w:tcW w:type="dxa" w:w="12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Not yet defined — pre-launch blocker</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CSSF Circular 22/806 (BPO residual)</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National supervision (LU)</w:t>
            </w:r>
          </w:p>
        </w:tc>
        <w:tc>
          <w:tcPr>
            <w:tcW w:type="dxa" w:w="1200"/>
            <w:tcBorders>
              <w:top w:val="single" w:color="BBBBBB" w:sz="1"/>
              <w:left w:val="single" w:color="BBBBBB" w:sz="1"/>
              <w:bottom w:val="single" w:color="BBBBBB" w:sz="1"/>
              <w:right w:val="single" w:color="BBBBBB" w:sz="1"/>
            </w:tcBorders>
            <w:shd w:fill="A0522D"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SHOULD</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Applies to non-ICT outsourcing for CSSF entities</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EU AI Liability Directive</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Proposed EU legislation</w:t>
            </w:r>
          </w:p>
        </w:tc>
        <w:tc>
          <w:tcPr>
            <w:tcW w:type="dxa" w:w="1200"/>
            <w:tcBorders>
              <w:top w:val="single" w:color="BBBBBB" w:sz="1"/>
              <w:left w:val="single" w:color="BBBBBB" w:sz="1"/>
              <w:bottom w:val="single" w:color="BBBBBB" w:sz="1"/>
              <w:right w:val="single" w:color="BBBBBB" w:sz="1"/>
            </w:tcBorders>
            <w:shd w:fill="005F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COULD</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Not yet in force. Monitor.</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SFDR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EU Regulation</w:t>
            </w:r>
          </w:p>
        </w:tc>
        <w:tc>
          <w:tcPr>
            <w:tcW w:type="dxa" w:w="1200"/>
            <w:tcBorders>
              <w:top w:val="single" w:color="BBBBBB" w:sz="1"/>
              <w:left w:val="single" w:color="BBBBBB" w:sz="1"/>
              <w:bottom w:val="single" w:color="BBBBBB" w:sz="1"/>
              <w:right w:val="single" w:color="BBBBBB" w:sz="1"/>
            </w:tcBorders>
            <w:shd w:fill="59595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WON'T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Out of scope Phase 1</w:t>
            </w:r>
          </w:p>
        </w:tc>
      </w:tr>
    </w:tbl>
    <w:p>
      <w:pPr>
        <w:spacing w:before="80" w:after="0"/>
      </w:pPr>
    </w:p>
    <w:p>
      <w:pPr>
        <w:pStyle w:val="Heading1"/>
        <w:pBdr>
          <w:bottom w:val="single" w:color="2E5FA3" w:sz="6" w:space="4"/>
        </w:pBdr>
        <w:spacing w:before="360" w:after="120"/>
      </w:pPr>
      <w:r>
        <w:rPr>
          <w:rFonts w:ascii="Arial" w:cs="Arial" w:eastAsia="Arial" w:hAnsi="Arial"/>
          <w:b/>
          <w:bCs/>
          <w:color w:val="1F3864"/>
          <w:sz w:val="32"/>
          <w:szCs w:val="32"/>
        </w:rPr>
        <w:t xml:space="preserve">3.  AIFMD Core Reporting Framework</w:t>
      </w:r>
    </w:p>
    <w:p>
      <w:pPr>
        <w:pStyle w:val="Heading2"/>
        <w:spacing w:before="280" w:after="80"/>
      </w:pPr>
      <w:r>
        <w:rPr>
          <w:rFonts w:ascii="Arial" w:cs="Arial" w:eastAsia="Arial" w:hAnsi="Arial"/>
          <w:b/>
          <w:bCs/>
          <w:color w:val="2E5FA3"/>
          <w:sz w:val="26"/>
          <w:szCs w:val="26"/>
        </w:rPr>
        <w:t xml:space="preserve">3.1  Directive 2011/61/EU — Key Obligations per Article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00"/>
      </w:tblGrid>
      <w:tr>
        <w:trPr>
          <w:tblHeader/>
        </w:trPr>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Article</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Subject</w:t>
            </w:r>
          </w:p>
        </w:tc>
        <w:tc>
          <w:tcPr>
            <w:tcW w:type="dxa" w:w="61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Product Obligation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Art. 3(3)(d)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Sub-threshold AIFM reporting</w:t>
            </w:r>
          </w:p>
        </w:tc>
        <w:tc>
          <w:tcPr>
            <w:tcW w:type="dxa" w:w="6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Product must handle both Art. 3 (light) and Art. 24 (full) regimes. Client onboarding must capture and store the applicable regime. Note: sub-threshold AIFMs are exempt from DORA — separate contractual template required.</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Art. 24(1)</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AIFM-level periodic report</w:t>
            </w:r>
          </w:p>
        </w:tc>
        <w:tc>
          <w:tcPr>
            <w:tcW w:type="dxa" w:w="6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AuM, leverage (Gross + Commitment), main instruments, markets. Core deterministic output.</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Art. 24(2)</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AIF-level periodic report</w:t>
            </w:r>
          </w:p>
        </w:tc>
        <w:tc>
          <w:tcPr>
            <w:tcW w:type="dxa" w:w="6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Per-fund: domicile, strategy, NAV, borrowings, investor profile, risk metrics. Dominant data load.</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Art. 24(4)</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Stress event / ad-hoc report</w:t>
            </w:r>
          </w:p>
        </w:tc>
        <w:tc>
          <w:tcPr>
            <w:tcW w:type="dxa" w:w="6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Requires trigger monitoring. Product must alert clients when market share or leverage thresholds are breached.</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Art. 25</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NCA information use</w:t>
            </w:r>
          </w:p>
        </w:tc>
        <w:tc>
          <w:tcPr>
            <w:tcW w:type="dxa" w:w="6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Supports amendment and supplementary data workflows.</w:t>
            </w:r>
          </w:p>
        </w:tc>
      </w:tr>
    </w:tbl>
    <w:p>
      <w:pPr>
        <w:spacing w:before="80" w:after="0"/>
      </w:pPr>
    </w:p>
    <w:p>
      <w:pPr>
        <w:pStyle w:val="Heading2"/>
        <w:spacing w:before="280" w:after="80"/>
      </w:pPr>
      <w:r>
        <w:rPr>
          <w:rFonts w:ascii="Arial" w:cs="Arial" w:eastAsia="Arial" w:hAnsi="Arial"/>
          <w:b/>
          <w:bCs/>
          <w:color w:val="2E5FA3"/>
          <w:sz w:val="26"/>
          <w:szCs w:val="26"/>
        </w:rPr>
        <w:t xml:space="preserve">3.2  CDR 231/2013 — Articles 110–127</w:t>
      </w:r>
    </w:p>
    <w:p>
      <w:pPr>
        <w:pStyle w:val="ListParagraph"/>
        <w:numPr>
          <w:ilvl w:val="0"/>
          <w:numId w:val="2"/>
        </w:numPr>
        <w:spacing w:before="20" w:after="20"/>
      </w:pPr>
      <w:r>
        <w:rPr>
          <w:rFonts w:ascii="Arial" w:cs="Arial" w:eastAsia="Arial" w:hAnsi="Arial"/>
          <w:color w:val="000000"/>
          <w:sz w:val="22"/>
          <w:szCs w:val="22"/>
        </w:rPr>
        <w:t xml:space="preserve">Leverage must be calculated using both Gross Method and Commitment Method (Arts. 7–8). Both are deterministic calculations with no discretion. The existing Eagle YAML validation rules encode this.</w:t>
      </w:r>
    </w:p>
    <w:p>
      <w:pPr>
        <w:pStyle w:val="ListParagraph"/>
        <w:numPr>
          <w:ilvl w:val="0"/>
          <w:numId w:val="2"/>
        </w:numPr>
        <w:spacing w:before="20" w:after="20"/>
      </w:pPr>
      <w:r>
        <w:rPr>
          <w:rFonts w:ascii="Arial" w:cs="Arial" w:eastAsia="Arial" w:hAnsi="Arial"/>
          <w:color w:val="000000"/>
          <w:sz w:val="22"/>
          <w:szCs w:val="22"/>
        </w:rPr>
        <w:t xml:space="preserve">Geographical breakdowns must use ISO 3166-1 alpha-2 country codes. Eagle's validation rules enforce this at the field level.</w:t>
      </w:r>
    </w:p>
    <w:p>
      <w:pPr>
        <w:pStyle w:val="ListParagraph"/>
        <w:numPr>
          <w:ilvl w:val="0"/>
          <w:numId w:val="2"/>
        </w:numPr>
        <w:spacing w:before="20" w:after="20"/>
      </w:pPr>
      <w:r>
        <w:rPr>
          <w:rFonts w:ascii="Arial" w:cs="Arial" w:eastAsia="Arial" w:hAnsi="Arial"/>
          <w:color w:val="000000"/>
          <w:sz w:val="22"/>
          <w:szCs w:val="22"/>
        </w:rPr>
        <w:t xml:space="preserve">Fund strategy and sub-strategy enumerations are defined in Annex IV. Eagle must not extend or reinterpret these without a regulatory basis.</w:t>
      </w:r>
    </w:p>
    <w:p>
      <w:pPr>
        <w:pStyle w:val="ListParagraph"/>
        <w:numPr>
          <w:ilvl w:val="0"/>
          <w:numId w:val="2"/>
        </w:numPr>
        <w:spacing w:before="20" w:after="20"/>
      </w:pPr>
      <w:r>
        <w:rPr>
          <w:rFonts w:ascii="Arial" w:cs="Arial" w:eastAsia="Arial" w:hAnsi="Arial"/>
          <w:color w:val="000000"/>
          <w:sz w:val="22"/>
          <w:szCs w:val="22"/>
        </w:rPr>
        <w:t xml:space="preserve">Reporting frequency thresholds (quarterly / semi-annual / annual) are AuM-dependent per Art. 110. The client profile module must dynamically apply the correct threshold.</w:t>
      </w:r>
    </w:p>
    <w:p>
      <w:pPr>
        <w:spacing w:before="80" w:after="0"/>
      </w:pPr>
    </w:p>
    <w:p>
      <w:pPr>
        <w:pStyle w:val="Heading2"/>
        <w:spacing w:before="280" w:after="80"/>
      </w:pPr>
      <w:r>
        <w:rPr>
          <w:rFonts w:ascii="Arial" w:cs="Arial" w:eastAsia="Arial" w:hAnsi="Arial"/>
          <w:b/>
          <w:bCs/>
          <w:color w:val="2E5FA3"/>
          <w:sz w:val="26"/>
          <w:szCs w:val="26"/>
        </w:rPr>
        <w:t xml:space="preserve">3.3  ESMA Guidelines (ESMA/2014/869rev) and DQEF (May 2025)</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200"/>
      </w:tblGrid>
      <w:tr>
        <w:trPr>
          <w:tblHeader/>
        </w:trPr>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Error Type</w:t>
            </w:r>
          </w:p>
        </w:tc>
        <w:tc>
          <w:tcPr>
            <w:tcW w:type="dxa" w:w="4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Definition</w:t>
            </w:r>
          </w:p>
        </w:tc>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Eagle Layer</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CAF — Critical Acceptance Failure</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Causes outright rejection at NCA gateway</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Deterministic core: all CAF conditions must be cleared before submission</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CAM — Critical Acceptance Message</w:t>
            </w:r>
          </w:p>
        </w:tc>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Accepted with flag; must be resolved within mandated timeframes</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Deterministic core + quality layer: track and alert clients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DQ Quality Check</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Statistical / plausibility flag</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Quality layer: flag for human review; never block submission</w:t>
            </w:r>
          </w:p>
        </w:tc>
      </w:tr>
    </w:tbl>
    <w:p>
      <w:pPr>
        <w:spacing w:before="80" w:after="0"/>
      </w:pPr>
    </w:p>
    <w:tbl>
      <w:tblPr>
        <w:tblW w:type="dxa" w:w="9200"/>
        <w:tblBorders>
          <w:top w:val="none"/>
          <w:left w:val="none"/>
          <w:bottom w:val="none"/>
          <w:right w:val="none"/>
          <w:insideH w:val="single" w:color="auto" w:sz="4"/>
          <w:insideV w:val="single" w:color="auto" w:sz="4"/>
        </w:tblBorders>
      </w:tblPr>
      <w:tblGrid>
        <w:gridCol w:w="180"/>
        <w:gridCol w:w="9020"/>
      </w:tblGrid>
      <w:tr>
        <w:tc>
          <w:tcPr>
            <w:tcW w:type="dxa" w:w="180"/>
            <w:tcBorders>
              <w:top w:val="none"/>
              <w:left w:val="single" w:color="2E5FA3" w:sz="18"/>
              <w:bottom w:val="none"/>
              <w:right w:val="none"/>
            </w:tcBorders>
            <w:shd w:fill="D6E4F7" w:val="clear"/>
            <w:tcMar>
              <w:top w:type="dxa" w:w="80"/>
              <w:left w:type="dxa" w:w="160"/>
              <w:bottom w:type="dxa" w:w="80"/>
              <w:right w:type="dxa" w:w="80"/>
            </w:tcMar>
          </w:tcPr>
          <w:p/>
        </w:tc>
        <w:tc>
          <w:tcPr>
            <w:tcW w:type="dxa" w:w="9020"/>
            <w:tcBorders>
              <w:top w:val="single" w:color="BBBBBB" w:sz="1"/>
              <w:left w:val="single" w:color="BBBBBB" w:sz="1"/>
              <w:bottom w:val="single" w:color="BBBBBB" w:sz="1"/>
              <w:right w:val="single" w:color="BBBBBB" w:sz="1"/>
            </w:tcBorders>
            <w:shd w:fill="D6E4F7" w:val="clear"/>
            <w:tcMar>
              <w:top w:type="dxa" w:w="100"/>
              <w:left w:type="dxa" w:w="160"/>
              <w:bottom w:type="dxa" w:w="100"/>
              <w:right w:type="dxa" w:w="160"/>
            </w:tcMar>
          </w:tcPr>
          <w:p>
            <w:pPr>
              <w:spacing w:before="0" w:after="0"/>
            </w:pPr>
            <w:r>
              <w:rPr>
                <w:rFonts w:ascii="Arial" w:cs="Arial" w:eastAsia="Arial" w:hAnsi="Arial"/>
                <w:color w:val="000000"/>
                <w:sz w:val="21"/>
                <w:szCs w:val="21"/>
              </w:rPr>
              <w:t xml:space="preserve">Timeliness rules DQ-T-001 (submission lag &gt;30 days) and DQ-T-002 (amendment &gt;90 days after original) are product feature requirements: the platform must track submission timestamps per client, per fund, per period and proactively alert before deadlines.</w:t>
            </w:r>
          </w:p>
        </w:tc>
      </w:tr>
    </w:tbl>
    <w:p>
      <w:pPr>
        <w:spacing w:before="80" w:after="0"/>
      </w:pPr>
    </w:p>
    <w:p>
      <w:pPr>
        <w:pStyle w:val="Heading1"/>
        <w:pBdr>
          <w:bottom w:val="single" w:color="2E5FA3" w:sz="6" w:space="4"/>
        </w:pBdr>
        <w:spacing w:before="360" w:after="120"/>
      </w:pPr>
      <w:r>
        <w:rPr>
          <w:rFonts w:ascii="Arial" w:cs="Arial" w:eastAsia="Arial" w:hAnsi="Arial"/>
          <w:b/>
          <w:bCs/>
          <w:color w:val="1F3864"/>
          <w:sz w:val="32"/>
          <w:szCs w:val="32"/>
        </w:rPr>
        <w:t xml:space="preserve">4.  AIFMD 2.0 — Directive 2024/927/EU</w:t>
      </w:r>
    </w:p>
    <w:tbl>
      <w:tblPr>
        <w:tblW w:type="dxa" w:w="9200"/>
        <w:tblBorders>
          <w:top w:val="none"/>
          <w:left w:val="none"/>
          <w:bottom w:val="none"/>
          <w:right w:val="none"/>
          <w:insideH w:val="single" w:color="auto" w:sz="4"/>
          <w:insideV w:val="single" w:color="auto" w:sz="4"/>
        </w:tblBorders>
      </w:tblPr>
      <w:tblGrid>
        <w:gridCol w:w="180"/>
        <w:gridCol w:w="9020"/>
      </w:tblGrid>
      <w:tr>
        <w:tc>
          <w:tcPr>
            <w:tcW w:type="dxa" w:w="180"/>
            <w:tcBorders>
              <w:top w:val="none"/>
              <w:left w:val="single" w:color="C00000" w:sz="18"/>
              <w:bottom w:val="none"/>
              <w:right w:val="none"/>
            </w:tcBorders>
            <w:shd w:fill="FADADD" w:val="clear"/>
            <w:tcMar>
              <w:top w:type="dxa" w:w="80"/>
              <w:left w:type="dxa" w:w="160"/>
              <w:bottom w:type="dxa" w:w="80"/>
              <w:right w:type="dxa" w:w="80"/>
            </w:tcMar>
          </w:tcPr>
          <w:p/>
        </w:tc>
        <w:tc>
          <w:tcPr>
            <w:tcW w:type="dxa" w:w="9020"/>
            <w:tcBorders>
              <w:top w:val="single" w:color="BBBBBB" w:sz="1"/>
              <w:left w:val="single" w:color="BBBBBB" w:sz="1"/>
              <w:bottom w:val="single" w:color="BBBBBB" w:sz="1"/>
              <w:right w:val="single" w:color="BBBBBB" w:sz="1"/>
            </w:tcBorders>
            <w:shd w:fill="FADADD" w:val="clear"/>
            <w:tcMar>
              <w:top w:type="dxa" w:w="100"/>
              <w:left w:type="dxa" w:w="160"/>
              <w:bottom w:type="dxa" w:w="100"/>
              <w:right w:type="dxa" w:w="160"/>
            </w:tcMar>
          </w:tcPr>
          <w:p>
            <w:pPr>
              <w:spacing w:before="0" w:after="0"/>
            </w:pPr>
            <w:r>
              <w:rPr>
                <w:rFonts w:ascii="Arial" w:cs="Arial" w:eastAsia="Arial" w:hAnsi="Arial"/>
                <w:color w:val="000000"/>
                <w:sz w:val="21"/>
                <w:szCs w:val="21"/>
              </w:rPr>
              <w:t xml:space="preserve">CRITICAL — IMMINENT DEADLINE: Member states must apply AIFMD 2.0 rules from 16 April 2026. The Netherlands (AFM) and Luxembourg (CSSF) are the two key markets. A gap analysis against current Eagle YAML validation rules must begin immediately.</w:t>
            </w:r>
          </w:p>
        </w:tc>
      </w:tr>
    </w:tbl>
    <w:p>
      <w:pPr>
        <w:spacing w:before="80" w:after="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1200"/>
        <w:gridCol w:w="1700"/>
      </w:tblGrid>
      <w:tr>
        <w:trPr>
          <w:tblHeader/>
        </w:trPr>
        <w:tc>
          <w:tcPr>
            <w:tcW w:type="dxa" w:w="30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120"/>
            </w:tcMar>
          </w:tcPr>
          <w:p>
            <w:pPr>
              <w:spacing w:before="0" w:after="0"/>
            </w:pPr>
            <w:r>
              <w:rPr>
                <w:rFonts w:ascii="Arial" w:cs="Arial" w:eastAsia="Arial" w:hAnsi="Arial"/>
                <w:b/>
                <w:bCs/>
                <w:color w:val="1F3864"/>
                <w:sz w:val="20"/>
                <w:szCs w:val="20"/>
              </w:rPr>
              <w:t xml:space="preserve">AIFMD 2.0 Change</w:t>
            </w:r>
          </w:p>
        </w:tc>
        <w:tc>
          <w:tcPr>
            <w:tcW w:type="dxa" w:w="35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120"/>
            </w:tcMar>
          </w:tcPr>
          <w:p>
            <w:pPr>
              <w:spacing w:before="0" w:after="0"/>
            </w:pPr>
            <w:r>
              <w:rPr>
                <w:rFonts w:ascii="Arial" w:cs="Arial" w:eastAsia="Arial" w:hAnsi="Arial"/>
                <w:b/>
                <w:bCs/>
                <w:color w:val="1F3864"/>
                <w:sz w:val="20"/>
                <w:szCs w:val="20"/>
              </w:rPr>
              <w:t xml:space="preserve">Product Impact</w:t>
            </w:r>
          </w:p>
        </w:tc>
        <w:tc>
          <w:tcPr>
            <w:tcW w:type="dxa" w:w="12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120"/>
            </w:tcMar>
          </w:tcPr>
          <w:p>
            <w:pPr>
              <w:spacing w:before="0" w:after="0"/>
            </w:pPr>
            <w:r>
              <w:rPr>
                <w:rFonts w:ascii="Arial" w:cs="Arial" w:eastAsia="Arial" w:hAnsi="Arial"/>
                <w:b/>
                <w:bCs/>
                <w:color w:val="1F3864"/>
                <w:sz w:val="20"/>
                <w:szCs w:val="20"/>
              </w:rPr>
              <w:t xml:space="preserve">MoSCoW</w:t>
            </w:r>
          </w:p>
        </w:tc>
        <w:tc>
          <w:tcPr>
            <w:tcW w:type="dxa" w:w="17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120"/>
            </w:tcMar>
          </w:tcPr>
          <w:p>
            <w:pPr>
              <w:spacing w:before="0" w:after="0"/>
            </w:pPr>
            <w:r>
              <w:rPr>
                <w:rFonts w:ascii="Arial" w:cs="Arial" w:eastAsia="Arial" w:hAnsi="Arial"/>
                <w:b/>
                <w:bCs/>
                <w:color w:val="1F3864"/>
                <w:sz w:val="20"/>
                <w:szCs w:val="20"/>
              </w:rPr>
              <w:t xml:space="preserve">Target</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Loan-Originating AIF (LOAIF) regime</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New Annex IV fields for loan portfolio data: exposure, concentration, risk metrics. Validation rules must be extended.</w:t>
            </w:r>
          </w:p>
        </w:tc>
        <w:tc>
          <w:tcPr>
            <w:tcW w:type="dxa" w:w="12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Phase 1</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Revised AuM thresholds and reporting frequencies</w:t>
            </w:r>
          </w:p>
        </w:tc>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Client threshold monitoring module must apply updated thresholds dynamically.</w:t>
            </w:r>
          </w:p>
        </w:tc>
        <w:tc>
          <w:tcPr>
            <w:tcW w:type="dxa" w:w="12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Phase 1</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Delegation and outsourcing disclosure fields</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Expanded data model: delegate identity, jurisdiction, function. Schema extension required.</w:t>
            </w:r>
          </w:p>
        </w:tc>
        <w:tc>
          <w:tcPr>
            <w:tcW w:type="dxa" w:w="12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Phase 1</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Liquidity Management Tool (LMT) disclosures</w:t>
            </w:r>
          </w:p>
        </w:tc>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New mandatory/optional LMT fields. ESMA ITS expected 2025–2026.</w:t>
            </w:r>
          </w:p>
        </w:tc>
        <w:tc>
          <w:tcPr>
            <w:tcW w:type="dxa" w:w="1200"/>
            <w:tcBorders>
              <w:top w:val="single" w:color="BBBBBB" w:sz="1"/>
              <w:left w:val="single" w:color="BBBBBB" w:sz="1"/>
              <w:bottom w:val="single" w:color="BBBBBB" w:sz="1"/>
              <w:right w:val="single" w:color="BBBBBB" w:sz="1"/>
            </w:tcBorders>
            <w:shd w:fill="A0522D"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SHOULD</w:t>
            </w:r>
          </w:p>
        </w:tc>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Phase 1</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Revised ESMA XSD schemas</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Processing engine update. Expected ~April 2027 but NCAs may require earlier data collection.</w:t>
            </w:r>
          </w:p>
        </w:tc>
        <w:tc>
          <w:tcPr>
            <w:tcW w:type="dxa" w:w="12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Phase 2 / earlier if NCA guidance requires</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NCA transitional guidance (AFM + CSSF)</w:t>
            </w:r>
          </w:p>
        </w:tc>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Both NCAs will publish implementing guidance. Eagle must monitor both and update accordingly.</w:t>
            </w:r>
          </w:p>
        </w:tc>
        <w:tc>
          <w:tcPr>
            <w:tcW w:type="dxa" w:w="12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Ongoing from launch</w:t>
            </w:r>
          </w:p>
        </w:tc>
      </w:tr>
    </w:tbl>
    <w:p>
      <w:pPr>
        <w:spacing w:before="80" w:after="0"/>
      </w:pPr>
    </w:p>
    <w:p>
      <w:pPr>
        <w:pStyle w:val="Heading1"/>
        <w:pBdr>
          <w:bottom w:val="single" w:color="2E5FA3" w:sz="6" w:space="4"/>
        </w:pBdr>
        <w:spacing w:before="360" w:after="120"/>
      </w:pPr>
      <w:r>
        <w:rPr>
          <w:rFonts w:ascii="Arial" w:cs="Arial" w:eastAsia="Arial" w:hAnsi="Arial"/>
          <w:b/>
          <w:bCs/>
          <w:color w:val="1F3864"/>
          <w:sz w:val="32"/>
          <w:szCs w:val="32"/>
        </w:rPr>
        <w:t xml:space="preserve">5.  NCA-Specific Requirements — AFM and CSSF</w:t>
      </w:r>
    </w:p>
    <w:p>
      <w:pPr>
        <w:pStyle w:val="Heading2"/>
        <w:spacing w:before="280" w:after="80"/>
      </w:pPr>
      <w:r>
        <w:rPr>
          <w:rFonts w:ascii="Arial" w:cs="Arial" w:eastAsia="Arial" w:hAnsi="Arial"/>
          <w:b/>
          <w:bCs/>
          <w:color w:val="2E5FA3"/>
          <w:sz w:val="26"/>
          <w:szCs w:val="26"/>
        </w:rPr>
        <w:t xml:space="preserve">5.1  AFM (Netherlands) — DORA Register of Information</w:t>
      </w:r>
    </w:p>
    <w:p>
      <w:pPr>
        <w:pStyle w:val="ListParagraph"/>
        <w:numPr>
          <w:ilvl w:val="0"/>
          <w:numId w:val="2"/>
        </w:numPr>
        <w:spacing w:before="20" w:after="20"/>
      </w:pPr>
      <w:r>
        <w:rPr>
          <w:rFonts w:ascii="Arial" w:cs="Arial" w:eastAsia="Arial" w:hAnsi="Arial"/>
          <w:color w:val="000000"/>
          <w:sz w:val="22"/>
          <w:szCs w:val="22"/>
        </w:rPr>
        <w:t xml:space="preserve">Eagle must be referenceable in clients' DORA registers: this requires an LEI or EUID, a clear service description, specification of AWS EU regions, and sub-processor list (Anthropic).</w:t>
      </w:r>
    </w:p>
    <w:p>
      <w:pPr>
        <w:pStyle w:val="ListParagraph"/>
        <w:numPr>
          <w:ilvl w:val="0"/>
          <w:numId w:val="2"/>
        </w:numPr>
        <w:spacing w:before="20" w:after="20"/>
      </w:pPr>
      <w:r>
        <w:rPr>
          <w:rFonts w:ascii="Arial" w:cs="Arial" w:eastAsia="Arial" w:hAnsi="Arial"/>
          <w:color w:val="000000"/>
          <w:sz w:val="22"/>
          <w:szCs w:val="22"/>
        </w:rPr>
        <w:t xml:space="preserve">The AFM additionally requires Wft notification for critical and important outsourcing alongside the DORA notification. Eagle's contract must contain both DORA Art. 30 provisions and Wft-compliant outsourcing clauses.</w:t>
      </w:r>
    </w:p>
    <w:p>
      <w:pPr>
        <w:pStyle w:val="ListParagraph"/>
        <w:numPr>
          <w:ilvl w:val="0"/>
          <w:numId w:val="2"/>
        </w:numPr>
        <w:spacing w:before="20" w:after="20"/>
      </w:pPr>
      <w:r>
        <w:rPr>
          <w:rFonts w:ascii="Arial" w:cs="Arial" w:eastAsia="Arial" w:hAnsi="Arial"/>
          <w:color w:val="000000"/>
          <w:sz w:val="22"/>
          <w:szCs w:val="22"/>
        </w:rPr>
        <w:t xml:space="preserve">Sub-threshold AIFMs under Art. 3 registration are exempt from DORA. For these clients, AFM's outsourcing monitoring framework under the Wft still applies but without DORA's full contract requirements. Eagle needs a tailored contractual template for this client segment.</w:t>
      </w:r>
    </w:p>
    <w:p>
      <w:pPr>
        <w:pStyle w:val="ListParagraph"/>
        <w:numPr>
          <w:ilvl w:val="0"/>
          <w:numId w:val="2"/>
        </w:numPr>
        <w:spacing w:before="20" w:after="20"/>
      </w:pPr>
      <w:r>
        <w:rPr>
          <w:rFonts w:ascii="Arial" w:cs="Arial" w:eastAsia="Arial" w:hAnsi="Arial"/>
          <w:color w:val="000000"/>
          <w:sz w:val="22"/>
          <w:szCs w:val="22"/>
        </w:rPr>
        <w:t xml:space="preserve">The AFM Supervision Report on outsourcing (September 2024) expects: annual risk analysis, documented responsibility allocation, and explicit ICT risk treatment (availability, integrity, confidentiality).</w:t>
      </w:r>
    </w:p>
    <w:p>
      <w:pPr>
        <w:spacing w:before="80" w:after="0"/>
      </w:pPr>
    </w:p>
    <w:tbl>
      <w:tblPr>
        <w:tblW w:type="dxa" w:w="9200"/>
        <w:tblBorders>
          <w:top w:val="none"/>
          <w:left w:val="none"/>
          <w:bottom w:val="none"/>
          <w:right w:val="none"/>
          <w:insideH w:val="single" w:color="auto" w:sz="4"/>
          <w:insideV w:val="single" w:color="auto" w:sz="4"/>
        </w:tblBorders>
      </w:tblPr>
      <w:tblGrid>
        <w:gridCol w:w="180"/>
        <w:gridCol w:w="9020"/>
      </w:tblGrid>
      <w:tr>
        <w:tc>
          <w:tcPr>
            <w:tcW w:type="dxa" w:w="180"/>
            <w:tcBorders>
              <w:top w:val="none"/>
              <w:left w:val="single" w:color="2E5FA3" w:sz="18"/>
              <w:bottom w:val="none"/>
              <w:right w:val="none"/>
            </w:tcBorders>
            <w:shd w:fill="D6E4F7" w:val="clear"/>
            <w:tcMar>
              <w:top w:type="dxa" w:w="80"/>
              <w:left w:type="dxa" w:w="160"/>
              <w:bottom w:type="dxa" w:w="80"/>
              <w:right w:type="dxa" w:w="80"/>
            </w:tcMar>
          </w:tcPr>
          <w:p/>
        </w:tc>
        <w:tc>
          <w:tcPr>
            <w:tcW w:type="dxa" w:w="9020"/>
            <w:tcBorders>
              <w:top w:val="single" w:color="BBBBBB" w:sz="1"/>
              <w:left w:val="single" w:color="BBBBBB" w:sz="1"/>
              <w:bottom w:val="single" w:color="BBBBBB" w:sz="1"/>
              <w:right w:val="single" w:color="BBBBBB" w:sz="1"/>
            </w:tcBorders>
            <w:shd w:fill="D6E4F7" w:val="clear"/>
            <w:tcMar>
              <w:top w:type="dxa" w:w="100"/>
              <w:left w:type="dxa" w:w="160"/>
              <w:bottom w:type="dxa" w:w="100"/>
              <w:right w:type="dxa" w:w="160"/>
            </w:tcMar>
          </w:tcPr>
          <w:p>
            <w:pPr>
              <w:spacing w:before="0" w:after="0"/>
            </w:pPr>
            <w:r>
              <w:rPr>
                <w:rFonts w:ascii="Arial" w:cs="Arial" w:eastAsia="Arial" w:hAnsi="Arial"/>
                <w:color w:val="000000"/>
                <w:sz w:val="21"/>
                <w:szCs w:val="21"/>
              </w:rPr>
              <w:t xml:space="preserve">AFM PRACTICAL IMPLICATION: Ensure Eagle has an LEI number before the first Dutch client is onboarded, as it is required for DORA register submissions by clients. Apply via the Dutch GLEIF registration agent.</w:t>
            </w:r>
          </w:p>
        </w:tc>
      </w:tr>
    </w:tbl>
    <w:p>
      <w:pPr>
        <w:spacing w:before="80" w:after="0"/>
      </w:pPr>
    </w:p>
    <w:p>
      <w:pPr>
        <w:pStyle w:val="Heading2"/>
        <w:spacing w:before="280" w:after="80"/>
      </w:pPr>
      <w:r>
        <w:rPr>
          <w:rFonts w:ascii="Arial" w:cs="Arial" w:eastAsia="Arial" w:hAnsi="Arial"/>
          <w:b/>
          <w:bCs/>
          <w:color w:val="2E5FA3"/>
          <w:sz w:val="26"/>
          <w:szCs w:val="26"/>
        </w:rPr>
        <w:t xml:space="preserve">5.2  CSSF (Luxembourg) — Circular 25/882 and Residual Circular 22/806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800"/>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CSSF Instrument</w:t>
            </w:r>
          </w:p>
        </w:tc>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Applies to</w:t>
            </w:r>
          </w:p>
        </w:tc>
        <w:tc>
          <w:tcPr>
            <w:tcW w:type="dxa" w:w="4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Requirement for Eagle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Circular CSSF 25/882</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DORA entities (authorised AIFMs)</w:t>
            </w:r>
          </w:p>
        </w:tc>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Luxembourg AIFMs must maintain a register of ICT third-party arrangements including Eagle and notify the CSSF. Eagle's contract must satisfy DORA Art. 30 plus CSSF-specific provisions. Eagle must cooperate with CSSF audit rights exercised through clients.</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Circular CSSF 22/806 (as amended)</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Management companies for ICT outsourcing; all entities for BPO</w:t>
            </w:r>
          </w:p>
        </w:tc>
        <w:tc>
          <w:tcPr>
            <w:tcW w:type="dxa" w:w="4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Where Eagle provides services to management companies (not pure AIFMs), Circular 22/806 continues to apply for ICT outsourcing. Eagle's contract must remain compatible with 22/806 requirements in these cases.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Circular CSSF 24/847</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All CSSF-supervised entities</w:t>
            </w:r>
          </w:p>
        </w:tc>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Incident reporting requirements. If an Eagle incident affects a Luxembourg client, the client may have CSSF notification obligations. Eagle's incident reporting procedure must produce the information clients need to file with the CSSF.</w:t>
            </w:r>
          </w:p>
        </w:tc>
      </w:tr>
    </w:tbl>
    <w:p>
      <w:pPr>
        <w:spacing w:before="80" w:after="0"/>
      </w:pPr>
    </w:p>
    <w:tbl>
      <w:tblPr>
        <w:tblW w:type="dxa" w:w="9200"/>
        <w:tblBorders>
          <w:top w:val="none"/>
          <w:left w:val="none"/>
          <w:bottom w:val="none"/>
          <w:right w:val="none"/>
          <w:insideH w:val="single" w:color="auto" w:sz="4"/>
          <w:insideV w:val="single" w:color="auto" w:sz="4"/>
        </w:tblBorders>
      </w:tblPr>
      <w:tblGrid>
        <w:gridCol w:w="180"/>
        <w:gridCol w:w="9020"/>
      </w:tblGrid>
      <w:tr>
        <w:tc>
          <w:tcPr>
            <w:tcW w:type="dxa" w:w="180"/>
            <w:tcBorders>
              <w:top w:val="none"/>
              <w:left w:val="single" w:color="2E5FA3" w:sz="18"/>
              <w:bottom w:val="none"/>
              <w:right w:val="none"/>
            </w:tcBorders>
            <w:shd w:fill="D6E4F7" w:val="clear"/>
            <w:tcMar>
              <w:top w:type="dxa" w:w="80"/>
              <w:left w:type="dxa" w:w="160"/>
              <w:bottom w:type="dxa" w:w="80"/>
              <w:right w:type="dxa" w:w="80"/>
            </w:tcMar>
          </w:tcPr>
          <w:p/>
        </w:tc>
        <w:tc>
          <w:tcPr>
            <w:tcW w:type="dxa" w:w="9020"/>
            <w:tcBorders>
              <w:top w:val="single" w:color="BBBBBB" w:sz="1"/>
              <w:left w:val="single" w:color="BBBBBB" w:sz="1"/>
              <w:bottom w:val="single" w:color="BBBBBB" w:sz="1"/>
              <w:right w:val="single" w:color="BBBBBB" w:sz="1"/>
            </w:tcBorders>
            <w:shd w:fill="D6E4F7" w:val="clear"/>
            <w:tcMar>
              <w:top w:type="dxa" w:w="100"/>
              <w:left w:type="dxa" w:w="160"/>
              <w:bottom w:type="dxa" w:w="100"/>
              <w:right w:type="dxa" w:w="160"/>
            </w:tcMar>
          </w:tcPr>
          <w:p>
            <w:pPr>
              <w:spacing w:before="0" w:after="0"/>
            </w:pPr>
            <w:r>
              <w:rPr>
                <w:rFonts w:ascii="Arial" w:cs="Arial" w:eastAsia="Arial" w:hAnsi="Arial"/>
                <w:color w:val="000000"/>
                <w:sz w:val="21"/>
                <w:szCs w:val="21"/>
              </w:rPr>
              <w:t xml:space="preserve">CSSF PRACTICAL IMPLICATION: When onboarding a Luxembourg AIFM client, Eagle's standard contract must explicitly reference CSSF Circular 25/882 compliance and include the CSSF-specific audit cooperation and register transparency provisions. A Luxembourg-specific contract addendum is recommended.</w:t>
            </w:r>
          </w:p>
        </w:tc>
      </w:tr>
    </w:tbl>
    <w:p>
      <w:pPr>
        <w:spacing w:before="80" w:after="0"/>
      </w:pPr>
    </w:p>
    <w:p>
      <w:pPr>
        <w:pStyle w:val="Heading1"/>
        <w:pBdr>
          <w:bottom w:val="single" w:color="2E5FA3" w:sz="6" w:space="4"/>
        </w:pBdr>
        <w:spacing w:before="360" w:after="120"/>
      </w:pPr>
      <w:r>
        <w:rPr>
          <w:rFonts w:ascii="Arial" w:cs="Arial" w:eastAsia="Arial" w:hAnsi="Arial"/>
          <w:b/>
          <w:bCs/>
          <w:color w:val="1F3864"/>
          <w:sz w:val="32"/>
          <w:szCs w:val="32"/>
        </w:rPr>
        <w:t xml:space="preserve">6.  DORA — Standard Contract Requirements and Future Risk</w:t>
      </w:r>
    </w:p>
    <w:p>
      <w:pPr>
        <w:pStyle w:val="Heading2"/>
        <w:spacing w:before="280" w:after="80"/>
      </w:pPr>
      <w:r>
        <w:rPr>
          <w:rFonts w:ascii="Arial" w:cs="Arial" w:eastAsia="Arial" w:hAnsi="Arial"/>
          <w:b/>
          <w:bCs/>
          <w:color w:val="2E5FA3"/>
          <w:sz w:val="26"/>
          <w:szCs w:val="26"/>
        </w:rPr>
        <w:t xml:space="preserve">6.1  Mandatory Contract Provisions (Art. 30)</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4700"/>
        <w:gridCol w:w="1000"/>
      </w:tblGrid>
      <w:tr>
        <w:trPr>
          <w:tblHeader/>
        </w:trPr>
        <w:tc>
          <w:tcPr>
            <w:tcW w:type="dxa" w:w="3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Contract Provision</w:t>
            </w:r>
          </w:p>
        </w:tc>
        <w:tc>
          <w:tcPr>
            <w:tcW w:type="dxa" w:w="47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Requirement</w:t>
            </w:r>
          </w:p>
        </w:tc>
        <w:tc>
          <w:tcPr>
            <w:tcW w:type="dxa" w:w="1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MoSCoW</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Service description and SLAs</w:t>
            </w:r>
          </w:p>
        </w:tc>
        <w:tc>
          <w:tcPr>
            <w:tcW w:type="dxa" w:w="4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Define services, expected uptime, processing timelines, error rates, escalation procedures.</w:t>
            </w:r>
          </w:p>
        </w:tc>
        <w:tc>
          <w:tcPr>
            <w:tcW w:type="dxa" w:w="10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Data location</w:t>
            </w:r>
          </w:p>
        </w:tc>
        <w:tc>
          <w:tcPr>
            <w:tcW w:type="dxa" w:w="4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Specify AWS EU regions explicitly by name. Reference Anthropic as sub-processor with its data location.</w:t>
            </w:r>
          </w:p>
        </w:tc>
        <w:tc>
          <w:tcPr>
            <w:tcW w:type="dxa" w:w="10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Audit rights</w:t>
            </w:r>
          </w:p>
        </w:tc>
        <w:tc>
          <w:tcPr>
            <w:tcW w:type="dxa" w:w="4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Client and its NCA have the right to audit Eagle's systems, processes and controls. Eagle must cooperate. Cannot be watered down.</w:t>
            </w:r>
          </w:p>
        </w:tc>
        <w:tc>
          <w:tcPr>
            <w:tcW w:type="dxa" w:w="10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Exit strategy and data portability</w:t>
            </w:r>
          </w:p>
        </w:tc>
        <w:tc>
          <w:tcPr>
            <w:tcW w:type="dxa" w:w="4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Define notice periods (minimum as per regulation), data export in portable format, transition support obligations.</w:t>
            </w:r>
          </w:p>
        </w:tc>
        <w:tc>
          <w:tcPr>
            <w:tcW w:type="dxa" w:w="10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Sub-outsourcing chain notification</w:t>
            </w:r>
          </w:p>
        </w:tc>
        <w:tc>
          <w:tcPr>
            <w:tcW w:type="dxa" w:w="4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Clients must be notified of material sub-processors (Anthropic). Clients have the right to object. Notification procedure for future changes required.</w:t>
            </w:r>
          </w:p>
        </w:tc>
        <w:tc>
          <w:tcPr>
            <w:tcW w:type="dxa" w:w="10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Mandatory pre-submission review gate</w:t>
            </w:r>
          </w:p>
        </w:tc>
        <w:tc>
          <w:tcPr>
            <w:tcW w:type="dxa" w:w="4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Client must actively approve submission before filing. Both a DORA control and Eagle's primary liability protection.</w:t>
            </w:r>
          </w:p>
        </w:tc>
        <w:tc>
          <w:tcPr>
            <w:tcW w:type="dxa" w:w="10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Business continuity and DR</w:t>
            </w:r>
          </w:p>
        </w:tc>
        <w:tc>
          <w:tcPr>
            <w:tcW w:type="dxa" w:w="4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Define RTO and RPO. Test annually. Document results.</w:t>
            </w:r>
          </w:p>
        </w:tc>
        <w:tc>
          <w:tcPr>
            <w:tcW w:type="dxa" w:w="1000"/>
            <w:tcBorders>
              <w:top w:val="single" w:color="BBBBBB" w:sz="1"/>
              <w:left w:val="single" w:color="BBBBBB" w:sz="1"/>
              <w:bottom w:val="single" w:color="BBBBBB" w:sz="1"/>
              <w:right w:val="single" w:color="BBBBBB" w:sz="1"/>
            </w:tcBorders>
            <w:shd w:fill="A0522D"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SHOULD</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ICT incident notification</w:t>
            </w:r>
          </w:p>
        </w:tc>
        <w:tc>
          <w:tcPr>
            <w:tcW w:type="dxa" w:w="4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Notify clients within defined timeframes of incidents that may affect their DORA or CSSF reporting obligations. Provide post-incident reports.</w:t>
            </w:r>
          </w:p>
        </w:tc>
        <w:tc>
          <w:tcPr>
            <w:tcW w:type="dxa" w:w="10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Wft compliance clause (NL clients)</w:t>
            </w:r>
          </w:p>
        </w:tc>
        <w:tc>
          <w:tcPr>
            <w:tcW w:type="dxa" w:w="4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For Dutch clients: both DORA Art. 30 and Dutch Wft outsourcing notification requirements must be satisfied.</w:t>
            </w:r>
          </w:p>
        </w:tc>
        <w:tc>
          <w:tcPr>
            <w:tcW w:type="dxa" w:w="10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CSSF addendum (LU clients)</w:t>
            </w:r>
          </w:p>
        </w:tc>
        <w:tc>
          <w:tcPr>
            <w:tcW w:type="dxa" w:w="4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For Luxembourg clients: DORA + CSSF Circular 25/882 specific provisions. Luxembourg addendum recommended.</w:t>
            </w:r>
          </w:p>
        </w:tc>
        <w:tc>
          <w:tcPr>
            <w:tcW w:type="dxa" w:w="10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r>
    </w:tbl>
    <w:p>
      <w:pPr>
        <w:spacing w:before="80" w:after="0"/>
      </w:pPr>
    </w:p>
    <w:p>
      <w:pPr>
        <w:pStyle w:val="Heading2"/>
        <w:spacing w:before="280" w:after="80"/>
      </w:pPr>
      <w:r>
        <w:rPr>
          <w:rFonts w:ascii="Arial" w:cs="Arial" w:eastAsia="Arial" w:hAnsi="Arial"/>
          <w:b/>
          <w:bCs/>
          <w:color w:val="2E5FA3"/>
          <w:sz w:val="26"/>
          <w:szCs w:val="26"/>
        </w:rPr>
        <w:t xml:space="preserve">6.2  DORA Future Risk — Potential Critical TPSP Designation</w:t>
      </w:r>
    </w:p>
    <w:tbl>
      <w:tblPr>
        <w:tblW w:type="dxa" w:w="9200"/>
        <w:tblBorders>
          <w:top w:val="none"/>
          <w:left w:val="none"/>
          <w:bottom w:val="none"/>
          <w:right w:val="none"/>
          <w:insideH w:val="single" w:color="auto" w:sz="4"/>
          <w:insideV w:val="single" w:color="auto" w:sz="4"/>
        </w:tblBorders>
      </w:tblPr>
      <w:tblGrid>
        <w:gridCol w:w="180"/>
        <w:gridCol w:w="9020"/>
      </w:tblGrid>
      <w:tr>
        <w:tc>
          <w:tcPr>
            <w:tcW w:type="dxa" w:w="180"/>
            <w:tcBorders>
              <w:top w:val="none"/>
              <w:left w:val="single" w:color="A0522D" w:sz="18"/>
              <w:bottom w:val="none"/>
              <w:right w:val="none"/>
            </w:tcBorders>
            <w:shd w:fill="FFF2CC" w:val="clear"/>
            <w:tcMar>
              <w:top w:type="dxa" w:w="80"/>
              <w:left w:type="dxa" w:w="160"/>
              <w:bottom w:type="dxa" w:w="80"/>
              <w:right w:type="dxa" w:w="80"/>
            </w:tcMar>
          </w:tcPr>
          <w:p/>
        </w:tc>
        <w:tc>
          <w:tcPr>
            <w:tcW w:type="dxa" w:w="9020"/>
            <w:tcBorders>
              <w:top w:val="single" w:color="BBBBBB" w:sz="1"/>
              <w:left w:val="single" w:color="BBBBBB" w:sz="1"/>
              <w:bottom w:val="single" w:color="BBBBBB" w:sz="1"/>
              <w:right w:val="single" w:color="BBBBBB" w:sz="1"/>
            </w:tcBorders>
            <w:shd w:fill="FFF2CC" w:val="clear"/>
            <w:tcMar>
              <w:top w:type="dxa" w:w="100"/>
              <w:left w:type="dxa" w:w="160"/>
              <w:bottom w:type="dxa" w:w="100"/>
              <w:right w:type="dxa" w:w="160"/>
            </w:tcMar>
          </w:tcPr>
          <w:p>
            <w:pPr>
              <w:spacing w:before="0" w:after="0"/>
            </w:pPr>
            <w:r>
              <w:rPr>
                <w:rFonts w:ascii="Arial" w:cs="Arial" w:eastAsia="Arial" w:hAnsi="Arial"/>
                <w:color w:val="000000"/>
                <w:sz w:val="21"/>
                <w:szCs w:val="21"/>
              </w:rPr>
              <w:t xml:space="preserve">FORWARD-LOOKING RISK: As Eagle's client base grows, it may be designated as a Critical ICT Third-Party Service Provider (CTPP) under DORA Art. 31. CTPP designation triggers direct ESA oversight, on-site inspections, mandatory resilience testing and compliance reporting obligations — independent of client relationships.</w:t>
            </w:r>
          </w:p>
        </w:tc>
      </w:tr>
    </w:tbl>
    <w:p>
      <w:pPr>
        <w:spacing w:before="80" w:after="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700"/>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CTPP Dimension</w:t>
            </w:r>
          </w:p>
        </w:tc>
        <w:tc>
          <w:tcPr>
            <w:tcW w:type="dxa" w:w="3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Assessment</w:t>
            </w:r>
          </w:p>
        </w:tc>
        <w:tc>
          <w:tcPr>
            <w:tcW w:type="dxa" w:w="37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Action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Current status</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Eagle appears in client DORA registers and is subject to indirect audit rights via clients. No direct ESA oversight at launch.</w:t>
            </w:r>
          </w:p>
        </w:tc>
        <w:tc>
          <w:tcPr>
            <w:tcW w:type="dxa" w:w="3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Ensure Eagle is correctly categorised in client registers. Monitor ESA CTPP designation register annually.</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Designation criteria (Art. 31)</w:t>
            </w:r>
          </w:p>
        </w:tc>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ESAs assess: number of regulated financial entities relying on the provider; systemic importance; substitutability; cross-border exposure.</w:t>
            </w:r>
          </w:p>
        </w:tc>
        <w:tc>
          <w:tcPr>
            <w:tcW w:type="dxa" w:w="3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At launch: below threshold. Reassess at each growth milestone (&gt;10 clients, &gt;25 clients, &gt;€5M ARR).</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Implications if designated</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Direct oversight by Lead Overseer ESA. Mandatory threat-led penetration testing (TLPT). Binding oversight recommendations. Compliance declarations.</w:t>
            </w:r>
          </w:p>
        </w:tc>
        <w:tc>
          <w:tcPr>
            <w:tcW w:type="dxa" w:w="3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Begin TLPT readiness planning in Phase 2. Engage external resilience testing provider in anticipation.</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Operational posture</w:t>
            </w:r>
          </w:p>
        </w:tc>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Eagle should operate as if it were regulated infrastructure: controls, audit trails, documentation to a standard that would survive direct ESA inspection.</w:t>
            </w:r>
          </w:p>
        </w:tc>
        <w:tc>
          <w:tcPr>
            <w:tcW w:type="dxa" w:w="3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This is already aligned with Principles 8, 9 and 10. No additional design changes required — maintain discipline.</w:t>
            </w:r>
          </w:p>
        </w:tc>
      </w:tr>
    </w:tbl>
    <w:p>
      <w:pPr>
        <w:spacing w:before="80" w:after="0"/>
      </w:pPr>
    </w:p>
    <w:p>
      <w:pPr>
        <w:pStyle w:val="Heading1"/>
        <w:pBdr>
          <w:bottom w:val="single" w:color="2E5FA3" w:sz="6" w:space="4"/>
        </w:pBdr>
        <w:spacing w:before="360" w:after="120"/>
      </w:pPr>
      <w:r>
        <w:rPr>
          <w:rFonts w:ascii="Arial" w:cs="Arial" w:eastAsia="Arial" w:hAnsi="Arial"/>
          <w:b/>
          <w:bCs/>
          <w:color w:val="1F3864"/>
          <w:sz w:val="32"/>
          <w:szCs w:val="32"/>
        </w:rPr>
        <w:t xml:space="preserve">7.  EU AI Act — Product Obligations</w:t>
      </w:r>
    </w:p>
    <w:p>
      <w:pPr>
        <w:pStyle w:val="Heading2"/>
        <w:spacing w:before="280" w:after="80"/>
      </w:pPr>
      <w:r>
        <w:rPr>
          <w:rFonts w:ascii="Arial" w:cs="Arial" w:eastAsia="Arial" w:hAnsi="Arial"/>
          <w:b/>
          <w:bCs/>
          <w:color w:val="2E5FA3"/>
          <w:sz w:val="26"/>
          <w:szCs w:val="26"/>
        </w:rPr>
        <w:t xml:space="preserve">7.1  Eagle's Position: GPAI Deployer</w:t>
      </w:r>
    </w:p>
    <w:p>
      <w:pPr>
        <w:spacing w:before="40" w:after="40"/>
      </w:pPr>
      <w:r>
        <w:rPr>
          <w:rFonts w:ascii="Arial" w:cs="Arial" w:eastAsia="Arial" w:hAnsi="Arial"/>
          <w:color w:val="000000"/>
          <w:sz w:val="22"/>
          <w:szCs w:val="22"/>
        </w:rPr>
        <w:t xml:space="preserve">Claude (Anthropic) is a General-Purpose AI Model (GPAI) under Title VIII of the AI Act. Anthropic is the GPAI provider; Project Eagle is the downstream deployer. These are separate legal positions with separate obligations. GPAI rules have applied since August 2025.</w:t>
      </w:r>
    </w:p>
    <w:p>
      <w:pPr>
        <w:spacing w:before="80" w:after="0"/>
      </w:pPr>
    </w:p>
    <w:p>
      <w:pPr>
        <w:pStyle w:val="Heading2"/>
        <w:spacing w:before="280" w:after="80"/>
      </w:pPr>
      <w:r>
        <w:rPr>
          <w:rFonts w:ascii="Arial" w:cs="Arial" w:eastAsia="Arial" w:hAnsi="Arial"/>
          <w:b/>
          <w:bCs/>
          <w:color w:val="2E5FA3"/>
          <w:sz w:val="26"/>
          <w:szCs w:val="26"/>
        </w:rPr>
        <w:t xml:space="preserve">7.2  High-Risk Classification — Annex III Assessment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3600"/>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Eagle AI Use Case</w:t>
            </w:r>
          </w:p>
        </w:tc>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Annex III Category</w:t>
            </w:r>
          </w:p>
        </w:tc>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Classification</w:t>
            </w:r>
          </w:p>
        </w:tc>
        <w:tc>
          <w:tcPr>
            <w:tcW w:type="dxa" w:w="3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Rationale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Data transformation and field mapping</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None directly applicable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Not high-risk</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AI assists with technical transformation. Output validated deterministically before any regulatory use.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Ambiguous field interpretation</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Potential Annex III(5) overlap</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Not high-risk, conditional</w:t>
            </w:r>
          </w:p>
        </w:tc>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AI assists but never produces final regulatory output. Deterministic core generates the submission. This classification is conditional — see Section 7.5.</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Quality anomaly detection / flagging</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None directly applicable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Not high-risk</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AI flags; human decides. Classic human-in-the-loop. No autonomous regulatory decision.</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Final Annex IV XML generation</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N/A — AI does NOT perform this</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N/A</w:t>
            </w:r>
          </w:p>
        </w:tc>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Deterministic core generates all regulated output. This design choice is the structural protection for Eagle's AI Act classification.</w:t>
            </w:r>
          </w:p>
        </w:tc>
      </w:tr>
    </w:tbl>
    <w:p>
      <w:pPr>
        <w:spacing w:before="80" w:after="0"/>
      </w:pPr>
    </w:p>
    <w:p>
      <w:pPr>
        <w:pStyle w:val="Heading2"/>
        <w:spacing w:before="280" w:after="80"/>
      </w:pPr>
      <w:r>
        <w:rPr>
          <w:rFonts w:ascii="Arial" w:cs="Arial" w:eastAsia="Arial" w:hAnsi="Arial"/>
          <w:b/>
          <w:bCs/>
          <w:color w:val="2E5FA3"/>
          <w:sz w:val="26"/>
          <w:szCs w:val="26"/>
        </w:rPr>
        <w:t xml:space="preserve">7.3  Transparency Obligations (Art. 50) — Product UI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3200"/>
        <w:gridCol w:w="1000"/>
      </w:tblGrid>
      <w:tr>
        <w:trPr>
          <w:tblHeader/>
        </w:trPr>
        <w:tc>
          <w:tcPr>
            <w:tcW w:type="dxa" w:w="3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Obligation</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Applicability</w:t>
            </w:r>
          </w:p>
        </w:tc>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Product Action</w:t>
            </w:r>
          </w:p>
        </w:tc>
        <w:tc>
          <w:tcPr>
            <w:tcW w:type="dxa" w:w="1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MoSCoW</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Disclose AI-generated content (Art. 50(4))</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Where Claude generates explanatory text, summaries or exception descriptions presented to users</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Label all AI-generated text elements in the platform UI as AI-assisted. Users must know which elements are AI-produced.</w:t>
            </w:r>
          </w:p>
        </w:tc>
        <w:tc>
          <w:tcPr>
            <w:tcW w:type="dxa" w:w="10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Inform users when interacting with AI</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General deployer transparency obligation</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Platform onboarding documentation must disclose AI usage, which pipeline components use AI, and the nature of human oversight.</w:t>
            </w:r>
          </w:p>
        </w:tc>
        <w:tc>
          <w:tcPr>
            <w:tcW w:type="dxa" w:w="10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Use of AI Register (Art. 26)</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Required for all GPAI deployers</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Maintain register: model deployed, tasks, inputs, outputs, oversight mechanisms, validation steps. Available to authorities on request.</w:t>
            </w:r>
          </w:p>
        </w:tc>
        <w:tc>
          <w:tcPr>
            <w:tcW w:type="dxa" w:w="10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r>
    </w:tbl>
    <w:p>
      <w:pPr>
        <w:spacing w:before="80" w:after="0"/>
      </w:pPr>
    </w:p>
    <w:p>
      <w:pPr>
        <w:pStyle w:val="Heading2"/>
        <w:spacing w:before="280" w:after="80"/>
      </w:pPr>
      <w:r>
        <w:rPr>
          <w:rFonts w:ascii="Arial" w:cs="Arial" w:eastAsia="Arial" w:hAnsi="Arial"/>
          <w:b/>
          <w:bCs/>
          <w:color w:val="2E5FA3"/>
          <w:sz w:val="26"/>
          <w:szCs w:val="26"/>
        </w:rPr>
        <w:t xml:space="preserve">7.4  ESMA and EBA AI Guidance — The Due Diligence Standard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200"/>
      </w:tblGrid>
      <w:tr>
        <w:trPr>
          <w:tblHeader/>
        </w:trPr>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Supervisory Theme</w:t>
            </w:r>
          </w:p>
        </w:tc>
        <w:tc>
          <w:tcPr>
            <w:tcW w:type="dxa" w:w="3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What Clients Will Ask For</w:t>
            </w:r>
          </w:p>
        </w:tc>
        <w:tc>
          <w:tcPr>
            <w:tcW w:type="dxa" w:w="4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Eagle's Evidence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Explainability</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How is each validation step and AI-assisted step traceable to a specific rule or model output?</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Full audit trail (input → transform → validate → output). AI steps tagged separately in the log.</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Human oversight</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Where is the human review step and what is its scope?</w:t>
            </w:r>
          </w:p>
        </w:tc>
        <w:tc>
          <w:tcPr>
            <w:tcW w:type="dxa" w:w="4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Mandatory pre-submission client review gate. Human escalation triggers documented.</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Data quality</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How are input quality issues detected and resolved?</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DQEF quality layer. DQ checks with human escalation for anomalies.</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Model governance</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How is the AI model version-managed, monitored and re-validated?</w:t>
            </w:r>
          </w:p>
        </w:tc>
        <w:tc>
          <w:tcPr>
            <w:tcW w:type="dxa" w:w="4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Use of AI Register. CTO-owned AI governance procedure with version log and performance monitoring.</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AI governance documentation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Can you provide a summary document for our due diligence?</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AI governance summary document — required for Phase 1 commercial pipeline.</w:t>
            </w:r>
          </w:p>
        </w:tc>
      </w:tr>
    </w:tbl>
    <w:p>
      <w:pPr>
        <w:spacing w:before="80" w:after="0"/>
      </w:pPr>
    </w:p>
    <w:p>
      <w:pPr>
        <w:pStyle w:val="Heading2"/>
        <w:spacing w:before="280" w:after="80"/>
      </w:pPr>
      <w:r>
        <w:rPr>
          <w:rFonts w:ascii="Arial" w:cs="Arial" w:eastAsia="Arial" w:hAnsi="Arial"/>
          <w:b/>
          <w:bCs/>
          <w:color w:val="2E5FA3"/>
          <w:sz w:val="26"/>
          <w:szCs w:val="26"/>
        </w:rPr>
        <w:t xml:space="preserve">7.5  AI Act Classification — Conditional Non-High-Risk Status</w:t>
      </w:r>
    </w:p>
    <w:tbl>
      <w:tblPr>
        <w:tblW w:type="dxa" w:w="9200"/>
        <w:tblBorders>
          <w:top w:val="none"/>
          <w:left w:val="none"/>
          <w:bottom w:val="none"/>
          <w:right w:val="none"/>
          <w:insideH w:val="single" w:color="auto" w:sz="4"/>
          <w:insideV w:val="single" w:color="auto" w:sz="4"/>
        </w:tblBorders>
      </w:tblPr>
      <w:tblGrid>
        <w:gridCol w:w="180"/>
        <w:gridCol w:w="9020"/>
      </w:tblGrid>
      <w:tr>
        <w:tc>
          <w:tcPr>
            <w:tcW w:type="dxa" w:w="180"/>
            <w:tcBorders>
              <w:top w:val="none"/>
              <w:left w:val="single" w:color="C00000" w:sz="18"/>
              <w:bottom w:val="none"/>
              <w:right w:val="none"/>
            </w:tcBorders>
            <w:shd w:fill="FADADD" w:val="clear"/>
            <w:tcMar>
              <w:top w:type="dxa" w:w="80"/>
              <w:left w:type="dxa" w:w="160"/>
              <w:bottom w:type="dxa" w:w="80"/>
              <w:right w:type="dxa" w:w="80"/>
            </w:tcMar>
          </w:tcPr>
          <w:p/>
        </w:tc>
        <w:tc>
          <w:tcPr>
            <w:tcW w:type="dxa" w:w="9020"/>
            <w:tcBorders>
              <w:top w:val="single" w:color="BBBBBB" w:sz="1"/>
              <w:left w:val="single" w:color="BBBBBB" w:sz="1"/>
              <w:bottom w:val="single" w:color="BBBBBB" w:sz="1"/>
              <w:right w:val="single" w:color="BBBBBB" w:sz="1"/>
            </w:tcBorders>
            <w:shd w:fill="FADADD" w:val="clear"/>
            <w:tcMar>
              <w:top w:type="dxa" w:w="100"/>
              <w:left w:type="dxa" w:w="160"/>
              <w:bottom w:type="dxa" w:w="100"/>
              <w:right w:type="dxa" w:w="160"/>
            </w:tcMar>
          </w:tcPr>
          <w:p>
            <w:pPr>
              <w:spacing w:before="0" w:after="0"/>
            </w:pPr>
            <w:r>
              <w:rPr>
                <w:rFonts w:ascii="Arial" w:cs="Arial" w:eastAsia="Arial" w:hAnsi="Arial"/>
                <w:color w:val="000000"/>
                <w:sz w:val="21"/>
                <w:szCs w:val="21"/>
              </w:rPr>
              <w:t xml:space="preserve">DESIGN DEPENDENCY — CLASSIFICATION SAFEGUARD: Eagle's non-high-risk AI classification rests entirely on one design principle: AI never produces final regulatory output (Principle 8). This is not merely a compliance stance — it is the structural condition that keeps Eagle outside the high-risk Annex III categories. If this principle is ever compromised — for example if a future feature allows AI to directly generate a validated Annex IV field — the entire AI Act classification must be reassessed before that feature is released. Any product scope change that involves AI in the final output chain requires a formal re-classification review signed off by the Head of Compliance before development begins.</w:t>
            </w:r>
          </w:p>
        </w:tc>
      </w:tr>
    </w:tbl>
    <w:p>
      <w:pPr>
        <w:spacing w:before="80" w:after="0"/>
      </w:pPr>
    </w:p>
    <w:p>
      <w:pPr>
        <w:spacing w:before="40" w:after="40"/>
      </w:pPr>
      <w:r>
        <w:rPr>
          <w:rFonts w:ascii="Arial" w:cs="Arial" w:eastAsia="Arial" w:hAnsi="Arial"/>
          <w:color w:val="000000"/>
          <w:sz w:val="22"/>
          <w:szCs w:val="22"/>
        </w:rPr>
        <w:t xml:space="preserve">Three conditions that would trigger mandatory re-classification:</w:t>
      </w:r>
    </w:p>
    <w:p>
      <w:pPr>
        <w:pStyle w:val="ListParagraph"/>
        <w:numPr>
          <w:ilvl w:val="0"/>
          <w:numId w:val="2"/>
        </w:numPr>
        <w:spacing w:before="20" w:after="20"/>
      </w:pPr>
      <w:r>
        <w:rPr>
          <w:rFonts w:ascii="Arial" w:cs="Arial" w:eastAsia="Arial" w:hAnsi="Arial"/>
          <w:color w:val="000000"/>
          <w:sz w:val="22"/>
          <w:szCs w:val="22"/>
        </w:rPr>
        <w:t xml:space="preserve">AI generates a data field that flows directly into the Annex IV submission without passing through the deterministic validation core.</w:t>
      </w:r>
    </w:p>
    <w:p>
      <w:pPr>
        <w:pStyle w:val="ListParagraph"/>
        <w:numPr>
          <w:ilvl w:val="0"/>
          <w:numId w:val="2"/>
        </w:numPr>
        <w:spacing w:before="20" w:after="20"/>
      </w:pPr>
      <w:r>
        <w:rPr>
          <w:rFonts w:ascii="Arial" w:cs="Arial" w:eastAsia="Arial" w:hAnsi="Arial"/>
          <w:color w:val="000000"/>
          <w:sz w:val="22"/>
          <w:szCs w:val="22"/>
        </w:rPr>
        <w:t xml:space="preserve">AI makes a binding classification decision (e.g. fund strategy code, leverage method selection) that is not subsequently validated by a rule-based check.</w:t>
      </w:r>
    </w:p>
    <w:p>
      <w:pPr>
        <w:pStyle w:val="ListParagraph"/>
        <w:numPr>
          <w:ilvl w:val="0"/>
          <w:numId w:val="2"/>
        </w:numPr>
        <w:spacing w:before="20" w:after="20"/>
      </w:pPr>
      <w:r>
        <w:rPr>
          <w:rFonts w:ascii="Arial" w:cs="Arial" w:eastAsia="Arial" w:hAnsi="Arial"/>
          <w:color w:val="000000"/>
          <w:sz w:val="22"/>
          <w:szCs w:val="22"/>
        </w:rPr>
        <w:t xml:space="preserve">AI produces a regulatory explanation or amendment response that is submitted to an NCA as Eagle's official output.</w:t>
      </w:r>
    </w:p>
    <w:p>
      <w:pPr>
        <w:spacing w:before="80" w:after="0"/>
      </w:pPr>
    </w:p>
    <w:tbl>
      <w:tblPr>
        <w:tblW w:type="dxa" w:w="9200"/>
        <w:tblBorders>
          <w:top w:val="none"/>
          <w:left w:val="none"/>
          <w:bottom w:val="none"/>
          <w:right w:val="none"/>
          <w:insideH w:val="single" w:color="auto" w:sz="4"/>
          <w:insideV w:val="single" w:color="auto" w:sz="4"/>
        </w:tblBorders>
      </w:tblPr>
      <w:tblGrid>
        <w:gridCol w:w="180"/>
        <w:gridCol w:w="9020"/>
      </w:tblGrid>
      <w:tr>
        <w:tc>
          <w:tcPr>
            <w:tcW w:type="dxa" w:w="180"/>
            <w:tcBorders>
              <w:top w:val="none"/>
              <w:left w:val="single" w:color="2E5FA3" w:sz="18"/>
              <w:bottom w:val="none"/>
              <w:right w:val="none"/>
            </w:tcBorders>
            <w:shd w:fill="D6E4F7" w:val="clear"/>
            <w:tcMar>
              <w:top w:type="dxa" w:w="80"/>
              <w:left w:type="dxa" w:w="160"/>
              <w:bottom w:type="dxa" w:w="80"/>
              <w:right w:type="dxa" w:w="80"/>
            </w:tcMar>
          </w:tcPr>
          <w:p/>
        </w:tc>
        <w:tc>
          <w:tcPr>
            <w:tcW w:type="dxa" w:w="9020"/>
            <w:tcBorders>
              <w:top w:val="single" w:color="BBBBBB" w:sz="1"/>
              <w:left w:val="single" w:color="BBBBBB" w:sz="1"/>
              <w:bottom w:val="single" w:color="BBBBBB" w:sz="1"/>
              <w:right w:val="single" w:color="BBBBBB" w:sz="1"/>
            </w:tcBorders>
            <w:shd w:fill="D6E4F7" w:val="clear"/>
            <w:tcMar>
              <w:top w:type="dxa" w:w="100"/>
              <w:left w:type="dxa" w:w="160"/>
              <w:bottom w:type="dxa" w:w="100"/>
              <w:right w:type="dxa" w:w="160"/>
            </w:tcMar>
          </w:tcPr>
          <w:p>
            <w:pPr>
              <w:spacing w:before="0" w:after="0"/>
            </w:pPr>
            <w:r>
              <w:rPr>
                <w:rFonts w:ascii="Arial" w:cs="Arial" w:eastAsia="Arial" w:hAnsi="Arial"/>
                <w:color w:val="000000"/>
                <w:sz w:val="21"/>
                <w:szCs w:val="21"/>
              </w:rPr>
              <w:t xml:space="preserve">COMMERCIAL NOTE: ESMA/EBA AI guidance creates the due diligence checklist AIFM clients use when evaluating AI-assisted service providers. The AI governance summary document (one to two pages covering the five dimensions above) is a commercial requirement from Phase 1 and should be prepared before the first enterprise prospect due diligence session.</w:t>
            </w:r>
          </w:p>
        </w:tc>
      </w:tr>
    </w:tbl>
    <w:p>
      <w:pPr>
        <w:spacing w:before="80" w:after="0"/>
      </w:pPr>
    </w:p>
    <w:p>
      <w:pPr>
        <w:pStyle w:val="Heading1"/>
        <w:pBdr>
          <w:bottom w:val="single" w:color="2E5FA3" w:sz="6" w:space="4"/>
        </w:pBdr>
        <w:spacing w:before="360" w:after="120"/>
      </w:pPr>
      <w:r>
        <w:rPr>
          <w:rFonts w:ascii="Arial" w:cs="Arial" w:eastAsia="Arial" w:hAnsi="Arial"/>
          <w:b/>
          <w:bCs/>
          <w:color w:val="1F3864"/>
          <w:sz w:val="32"/>
          <w:szCs w:val="32"/>
        </w:rPr>
        <w:t xml:space="preserve">8.  Contractual Liability Framework</w:t>
      </w:r>
    </w:p>
    <w:tbl>
      <w:tblPr>
        <w:tblW w:type="dxa" w:w="9200"/>
        <w:tblBorders>
          <w:top w:val="none"/>
          <w:left w:val="none"/>
          <w:bottom w:val="none"/>
          <w:right w:val="none"/>
          <w:insideH w:val="single" w:color="auto" w:sz="4"/>
          <w:insideV w:val="single" w:color="auto" w:sz="4"/>
        </w:tblBorders>
      </w:tblPr>
      <w:tblGrid>
        <w:gridCol w:w="180"/>
        <w:gridCol w:w="9020"/>
      </w:tblGrid>
      <w:tr>
        <w:tc>
          <w:tcPr>
            <w:tcW w:type="dxa" w:w="180"/>
            <w:tcBorders>
              <w:top w:val="none"/>
              <w:left w:val="single" w:color="C00000" w:sz="18"/>
              <w:bottom w:val="none"/>
              <w:right w:val="none"/>
            </w:tcBorders>
            <w:shd w:fill="FADADD" w:val="clear"/>
            <w:tcMar>
              <w:top w:type="dxa" w:w="80"/>
              <w:left w:type="dxa" w:w="160"/>
              <w:bottom w:type="dxa" w:w="80"/>
              <w:right w:type="dxa" w:w="80"/>
            </w:tcMar>
          </w:tcPr>
          <w:p/>
        </w:tc>
        <w:tc>
          <w:tcPr>
            <w:tcW w:type="dxa" w:w="9020"/>
            <w:tcBorders>
              <w:top w:val="single" w:color="BBBBBB" w:sz="1"/>
              <w:left w:val="single" w:color="BBBBBB" w:sz="1"/>
              <w:bottom w:val="single" w:color="BBBBBB" w:sz="1"/>
              <w:right w:val="single" w:color="BBBBBB" w:sz="1"/>
            </w:tcBorders>
            <w:shd w:fill="FADADD" w:val="clear"/>
            <w:tcMar>
              <w:top w:type="dxa" w:w="100"/>
              <w:left w:type="dxa" w:w="160"/>
              <w:bottom w:type="dxa" w:w="100"/>
              <w:right w:type="dxa" w:w="160"/>
            </w:tcMar>
          </w:tcPr>
          <w:p>
            <w:pPr>
              <w:spacing w:before="0" w:after="0"/>
            </w:pPr>
            <w:r>
              <w:rPr>
                <w:rFonts w:ascii="Arial" w:cs="Arial" w:eastAsia="Arial" w:hAnsi="Arial"/>
                <w:color w:val="000000"/>
                <w:sz w:val="21"/>
                <w:szCs w:val="21"/>
              </w:rPr>
              <w:t xml:space="preserve">CRITICAL OPEN ITEM: Contractual liability for submission errors is not yet defined. This is a pre-launch blocker. The framework below is the recommended position.</w:t>
            </w:r>
          </w:p>
        </w:tc>
      </w:tr>
    </w:tbl>
    <w:p>
      <w:pPr>
        <w:spacing w:before="8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3200"/>
        <w:gridCol w:w="1300"/>
      </w:tblGrid>
      <w:tr>
        <w:trPr>
          <w:tblHeader/>
        </w:trPr>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Liability Layer</w:t>
            </w:r>
          </w:p>
        </w:tc>
        <w:tc>
          <w:tcPr>
            <w:tcW w:type="dxa" w:w="2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Recommended Position</w:t>
            </w:r>
          </w:p>
        </w:tc>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Mechanism</w:t>
            </w:r>
          </w:p>
        </w:tc>
        <w:tc>
          <w:tcPr>
            <w:tcW w:type="dxa" w:w="13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MoSCoW</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Regulatory (AIFM → NCA)</w:t>
            </w:r>
          </w:p>
        </w:tc>
        <w:tc>
          <w:tcPr>
            <w:tcW w:type="dxa" w:w="2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Client retains all regulatory liability. AIFMD places this squarely on the authorised AIFM. Eagle cannot and does not assume regulatory liability.</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Contractual acknowledgement by client. Mandatory review gate before filing creates the record.</w:t>
            </w:r>
          </w:p>
        </w:tc>
        <w:tc>
          <w:tcPr>
            <w:tcW w:type="dxa" w:w="13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Regulatory fines (NCA → AIFM)</w:t>
            </w:r>
          </w:p>
        </w:tc>
        <w:tc>
          <w:tcPr>
            <w:tcW w:type="dxa" w:w="2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Regulatory fines, supervisory sanctions and enforcement actions imposed by NCAs on clients are explicitly excluded from Eagle's liability scope. These remain the sole responsibility of the regulated entity.</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Express exclusion clause in the contract. Eagle's obligation is to provide accurate processing — not to guarantee regulatory immunity.</w:t>
            </w:r>
          </w:p>
        </w:tc>
        <w:tc>
          <w:tcPr>
            <w:tcW w:type="dxa" w:w="13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Civil (Eagle → Client for processing errors)</w:t>
            </w:r>
          </w:p>
        </w:tc>
        <w:tc>
          <w:tcPr>
            <w:tcW w:type="dxa" w:w="2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Eagle accepts liability for defects in its validated rules or processing logic, subject to a cap.</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Cap at 12 months of fees paid. Exclude consequential losses. Require documented client review step — creates shared fault dynamic.</w:t>
            </w:r>
          </w:p>
        </w:tc>
        <w:tc>
          <w:tcPr>
            <w:tcW w:type="dxa" w:w="13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GDPR processor liability</w:t>
            </w:r>
          </w:p>
        </w:tc>
        <w:tc>
          <w:tcPr>
            <w:tcW w:type="dxa" w:w="2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As data processor, Eagle is liable for breaches attributable to its Art. 28 non-compliance.</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DPA with each client. Standard GDPR processor indemnity clause.</w:t>
            </w:r>
          </w:p>
        </w:tc>
        <w:tc>
          <w:tcPr>
            <w:tcW w:type="dxa" w:w="13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AI-assisted output errors</w:t>
            </w:r>
          </w:p>
        </w:tc>
        <w:tc>
          <w:tcPr>
            <w:tcW w:type="dxa" w:w="2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Eagle must demonstrate human-by-exception oversight functioned. The review gate is the primary control.</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AI governance logs, human escalation records, deterministic validation evidence available per submission.</w:t>
            </w:r>
          </w:p>
        </w:tc>
        <w:tc>
          <w:tcPr>
            <w:tcW w:type="dxa" w:w="13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r>
    </w:tbl>
    <w:p>
      <w:pPr>
        <w:spacing w:before="80" w:after="0"/>
      </w:pPr>
    </w:p>
    <w:p>
      <w:pPr>
        <w:pStyle w:val="Heading1"/>
        <w:pBdr>
          <w:bottom w:val="single" w:color="2E5FA3" w:sz="6" w:space="4"/>
        </w:pBdr>
        <w:spacing w:before="360" w:after="120"/>
      </w:pPr>
      <w:r>
        <w:rPr>
          <w:rFonts w:ascii="Arial" w:cs="Arial" w:eastAsia="Arial" w:hAnsi="Arial"/>
          <w:b/>
          <w:bCs/>
          <w:color w:val="1F3864"/>
          <w:sz w:val="32"/>
          <w:szCs w:val="32"/>
        </w:rPr>
        <w:t xml:space="preserve">9.  Certification — Commercial Requirement Analysis</w:t>
      </w:r>
    </w:p>
    <w:tbl>
      <w:tblPr>
        <w:tblW w:type="dxa" w:w="9200"/>
        <w:tblBorders>
          <w:top w:val="none"/>
          <w:left w:val="none"/>
          <w:bottom w:val="none"/>
          <w:right w:val="none"/>
          <w:insideH w:val="single" w:color="auto" w:sz="4"/>
          <w:insideV w:val="single" w:color="auto" w:sz="4"/>
        </w:tblBorders>
      </w:tblPr>
      <w:tblGrid>
        <w:gridCol w:w="180"/>
        <w:gridCol w:w="9020"/>
      </w:tblGrid>
      <w:tr>
        <w:tc>
          <w:tcPr>
            <w:tcW w:type="dxa" w:w="180"/>
            <w:tcBorders>
              <w:top w:val="none"/>
              <w:left w:val="single" w:color="2E5FA3" w:sz="18"/>
              <w:bottom w:val="none"/>
              <w:right w:val="none"/>
            </w:tcBorders>
            <w:shd w:fill="D6E4F7" w:val="clear"/>
            <w:tcMar>
              <w:top w:type="dxa" w:w="80"/>
              <w:left w:type="dxa" w:w="160"/>
              <w:bottom w:type="dxa" w:w="80"/>
              <w:right w:type="dxa" w:w="80"/>
            </w:tcMar>
          </w:tcPr>
          <w:p/>
        </w:tc>
        <w:tc>
          <w:tcPr>
            <w:tcW w:type="dxa" w:w="9020"/>
            <w:tcBorders>
              <w:top w:val="single" w:color="BBBBBB" w:sz="1"/>
              <w:left w:val="single" w:color="BBBBBB" w:sz="1"/>
              <w:bottom w:val="single" w:color="BBBBBB" w:sz="1"/>
              <w:right w:val="single" w:color="BBBBBB" w:sz="1"/>
            </w:tcBorders>
            <w:shd w:fill="D6E4F7" w:val="clear"/>
            <w:tcMar>
              <w:top w:type="dxa" w:w="100"/>
              <w:left w:type="dxa" w:w="160"/>
              <w:bottom w:type="dxa" w:w="100"/>
              <w:right w:type="dxa" w:w="160"/>
            </w:tcMar>
          </w:tcPr>
          <w:p>
            <w:pPr>
              <w:spacing w:before="0" w:after="0"/>
            </w:pPr>
            <w:r>
              <w:rPr>
                <w:rFonts w:ascii="Arial" w:cs="Arial" w:eastAsia="Arial" w:hAnsi="Arial"/>
                <w:color w:val="000000"/>
                <w:sz w:val="21"/>
                <w:szCs w:val="21"/>
              </w:rPr>
              <w:t xml:space="preserve">MARKET SIGNAL: Prospects are already asking for ISO 27001 and ISAE 3402 in RFPs. This section explains what each certification provides, why each is required, and the optimal sequence.</w:t>
            </w:r>
          </w:p>
        </w:tc>
      </w:tr>
    </w:tbl>
    <w:p>
      <w:pPr>
        <w:spacing w:before="80" w:after="0"/>
      </w:pPr>
    </w:p>
    <w:p>
      <w:pPr>
        <w:pStyle w:val="Heading2"/>
        <w:spacing w:before="280" w:after="80"/>
      </w:pPr>
      <w:r>
        <w:rPr>
          <w:rFonts w:ascii="Arial" w:cs="Arial" w:eastAsia="Arial" w:hAnsi="Arial"/>
          <w:b/>
          <w:bCs/>
          <w:color w:val="2E5FA3"/>
          <w:sz w:val="26"/>
          <w:szCs w:val="26"/>
        </w:rPr>
        <w:t xml:space="preserve">9.1  Why Certification Cannot Be Deferred</w:t>
      </w:r>
    </w:p>
    <w:p>
      <w:pPr>
        <w:pStyle w:val="ListParagraph"/>
        <w:numPr>
          <w:ilvl w:val="0"/>
          <w:numId w:val="2"/>
        </w:numPr>
        <w:spacing w:before="20" w:after="20"/>
      </w:pPr>
      <w:r>
        <w:rPr>
          <w:rFonts w:ascii="Arial" w:cs="Arial" w:eastAsia="Arial" w:hAnsi="Arial"/>
          <w:color w:val="000000"/>
          <w:sz w:val="22"/>
          <w:szCs w:val="22"/>
        </w:rPr>
        <w:t xml:space="preserve">Statutory auditors of AIFMs are legally required under ISA 402 and ISA 315 to assess controls at service organisations. Without an ISAE 3402 report, every client's auditor will conduct a bespoke assessment — a significant commercial friction that will block enterprise deals.</w:t>
      </w:r>
    </w:p>
    <w:p>
      <w:pPr>
        <w:pStyle w:val="ListParagraph"/>
        <w:numPr>
          <w:ilvl w:val="0"/>
          <w:numId w:val="2"/>
        </w:numPr>
        <w:spacing w:before="20" w:after="20"/>
      </w:pPr>
      <w:r>
        <w:rPr>
          <w:rFonts w:ascii="Arial" w:cs="Arial" w:eastAsia="Arial" w:hAnsi="Arial"/>
          <w:color w:val="000000"/>
          <w:sz w:val="22"/>
          <w:szCs w:val="22"/>
        </w:rPr>
        <w:t xml:space="preserve">ISO 27001 is the baseline security posture signal in procurement. Without it, procurement and compliance teams at prospective clients cannot complete their vendor risk assessments with a certificate reference.</w:t>
      </w:r>
    </w:p>
    <w:p>
      <w:pPr>
        <w:spacing w:before="80" w:after="0"/>
      </w:pPr>
    </w:p>
    <w:p>
      <w:pPr>
        <w:pStyle w:val="Heading2"/>
        <w:spacing w:before="280" w:after="80"/>
      </w:pPr>
      <w:r>
        <w:rPr>
          <w:rFonts w:ascii="Arial" w:cs="Arial" w:eastAsia="Arial" w:hAnsi="Arial"/>
          <w:b/>
          <w:bCs/>
          <w:color w:val="2E5FA3"/>
          <w:sz w:val="26"/>
          <w:szCs w:val="26"/>
        </w:rPr>
        <w:t xml:space="preserve">9.2  Certification Map</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800"/>
        <w:gridCol w:w="2000"/>
        <w:gridCol w:w="1000"/>
        <w:gridCol w:w="1400"/>
      </w:tblGrid>
      <w:tr>
        <w:trPr>
          <w:tblHeader/>
        </w:trPr>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Certification</w:t>
            </w:r>
          </w:p>
        </w:tc>
        <w:tc>
          <w:tcPr>
            <w:tcW w:type="dxa" w:w="2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What It Assesses</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Primary Audience</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Commercial Requirement</w:t>
            </w:r>
          </w:p>
        </w:tc>
        <w:tc>
          <w:tcPr>
            <w:tcW w:type="dxa" w:w="1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MoSCoW</w:t>
            </w:r>
          </w:p>
        </w:tc>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Target Timeline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ISO 27001</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Information security management system (ISMS)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All clients — procurement / vendor risk teams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YES — already in RFPs. Baseline requirement.</w:t>
            </w:r>
          </w:p>
        </w:tc>
        <w:tc>
          <w:tcPr>
            <w:tcW w:type="dxa" w:w="10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Stage 1 + Stage 2 within 12 months of launch</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ISAE 3402 Type I</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Controls at a service organisation relevant to clients' financial reporting</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AIFM statutory auditors + compliance teams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YES — critical. Auditors CANNOT substitute ISO 27001. Without it each client's auditor conducts a bespoke audit.</w:t>
            </w:r>
          </w:p>
        </w:tc>
        <w:tc>
          <w:tcPr>
            <w:tcW w:type="dxa" w:w="10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6–9 months post first client go-live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ISAE 3402 Type II</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Same as Type I but covers a period (min. 6 months): operating effectiveness over time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AIFM statutory auditors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YES — required for large/institutional clients and multi-year renewals.</w:t>
            </w:r>
          </w:p>
        </w:tc>
        <w:tc>
          <w:tcPr>
            <w:tcW w:type="dxa" w:w="1000"/>
            <w:tcBorders>
              <w:top w:val="single" w:color="BBBBBB" w:sz="1"/>
              <w:left w:val="single" w:color="BBBBBB" w:sz="1"/>
              <w:bottom w:val="single" w:color="BBBBBB" w:sz="1"/>
              <w:right w:val="single" w:color="BBBBBB" w:sz="1"/>
            </w:tcBorders>
            <w:shd w:fill="A0522D"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SHOULD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18 months post first client go-live</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SOC 2 Type I</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Security, availability, confidentiality and processing integrity (Trust Services Criteria)</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US clients and international institutional investors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SHOULD — relevant for US-based managers and international institutional clients.</w:t>
            </w:r>
          </w:p>
        </w:tc>
        <w:tc>
          <w:tcPr>
            <w:tcW w:type="dxa" w:w="1000"/>
            <w:tcBorders>
              <w:top w:val="single" w:color="BBBBBB" w:sz="1"/>
              <w:left w:val="single" w:color="BBBBBB" w:sz="1"/>
              <w:bottom w:val="single" w:color="BBBBBB" w:sz="1"/>
              <w:right w:val="single" w:color="BBBBBB" w:sz="1"/>
            </w:tcBorders>
            <w:shd w:fill="005F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COULD</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Phase 2 — run in parallel with ISAE 3402 Type II</w:t>
            </w:r>
          </w:p>
        </w:tc>
      </w:tr>
    </w:tbl>
    <w:p>
      <w:pPr>
        <w:spacing w:before="80" w:after="0"/>
      </w:pPr>
    </w:p>
    <w:p>
      <w:pPr>
        <w:pStyle w:val="Heading2"/>
        <w:spacing w:before="280" w:after="80"/>
      </w:pPr>
      <w:r>
        <w:rPr>
          <w:rFonts w:ascii="Arial" w:cs="Arial" w:eastAsia="Arial" w:hAnsi="Arial"/>
          <w:b/>
          <w:bCs/>
          <w:color w:val="2E5FA3"/>
          <w:sz w:val="26"/>
          <w:szCs w:val="26"/>
        </w:rPr>
        <w:t xml:space="preserve">9.3  Optimal Certification Sequence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100"/>
      </w:tblGrid>
      <w:tr>
        <w:trPr>
          <w:tblHeader/>
        </w:trPr>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Step</w:t>
            </w:r>
          </w:p>
        </w:tc>
        <w:tc>
          <w:tcPr>
            <w:tcW w:type="dxa" w:w="2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Action</w:t>
            </w:r>
          </w:p>
        </w:tc>
        <w:tc>
          <w:tcPr>
            <w:tcW w:type="dxa" w:w="51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Rationale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1 — Foundation</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Implement ISO 27001 ISMS (policies, access control, encryption, supplier register, incident management, BC/DR)</w:t>
            </w:r>
          </w:p>
        </w:tc>
        <w:tc>
          <w:tcPr>
            <w:tcW w:type="dxa" w:w="5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ISO 27001 controls map directly to ISAE 3402 and SOC 2 criteria. Build controls once, certify against multiple standards.</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2 — Certify ISO 27001</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Stage 1 (documentation review) + Stage 2 (on-site audit) with accredited body</w:t>
            </w:r>
          </w:p>
        </w:tc>
        <w:tc>
          <w:tcPr>
            <w:tcW w:type="dxa" w:w="5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Resolves security RFP questions immediately. Client due diligence evidence from day 1.</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3 — ISAE 3402 Type I</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Engage financial auditor. Define control objectives for Annex IV processing. Type I assessment.</w:t>
            </w:r>
          </w:p>
        </w:tc>
        <w:tc>
          <w:tcPr>
            <w:tcW w:type="dxa" w:w="5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Removes the statutory auditor bottleneck from every client deal. Target 6–9 months post first client go-live.</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4 — ISAE 3402 Type II</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Audit over observation period (min. 6 months after Type I)</w:t>
            </w:r>
          </w:p>
        </w:tc>
        <w:tc>
          <w:tcPr>
            <w:tcW w:type="dxa" w:w="5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Required for institutional clients and contract renewals.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5 — SOC 2</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Run in parallel with ISAE Type II if US client volume justifies it</w:t>
            </w:r>
          </w:p>
        </w:tc>
        <w:tc>
          <w:tcPr>
            <w:tcW w:type="dxa" w:w="5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Marginal additional effort when ISMS and ISAE controls already exist.</w:t>
            </w:r>
          </w:p>
        </w:tc>
      </w:tr>
    </w:tbl>
    <w:p>
      <w:pPr>
        <w:spacing w:before="80" w:after="0"/>
      </w:pPr>
    </w:p>
    <w:tbl>
      <w:tblPr>
        <w:tblW w:type="dxa" w:w="9200"/>
        <w:tblBorders>
          <w:top w:val="none"/>
          <w:left w:val="none"/>
          <w:bottom w:val="none"/>
          <w:right w:val="none"/>
          <w:insideH w:val="single" w:color="auto" w:sz="4"/>
          <w:insideV w:val="single" w:color="auto" w:sz="4"/>
        </w:tblBorders>
      </w:tblPr>
      <w:tblGrid>
        <w:gridCol w:w="180"/>
        <w:gridCol w:w="9020"/>
      </w:tblGrid>
      <w:tr>
        <w:tc>
          <w:tcPr>
            <w:tcW w:type="dxa" w:w="180"/>
            <w:tcBorders>
              <w:top w:val="none"/>
              <w:left w:val="single" w:color="2E5FA3" w:sz="18"/>
              <w:bottom w:val="none"/>
              <w:right w:val="none"/>
            </w:tcBorders>
            <w:shd w:fill="D6E4F7" w:val="clear"/>
            <w:tcMar>
              <w:top w:type="dxa" w:w="80"/>
              <w:left w:type="dxa" w:w="160"/>
              <w:bottom w:type="dxa" w:w="80"/>
              <w:right w:type="dxa" w:w="80"/>
            </w:tcMar>
          </w:tcPr>
          <w:p/>
        </w:tc>
        <w:tc>
          <w:tcPr>
            <w:tcW w:type="dxa" w:w="9020"/>
            <w:tcBorders>
              <w:top w:val="single" w:color="BBBBBB" w:sz="1"/>
              <w:left w:val="single" w:color="BBBBBB" w:sz="1"/>
              <w:bottom w:val="single" w:color="BBBBBB" w:sz="1"/>
              <w:right w:val="single" w:color="BBBBBB" w:sz="1"/>
            </w:tcBorders>
            <w:shd w:fill="D6E4F7" w:val="clear"/>
            <w:tcMar>
              <w:top w:type="dxa" w:w="100"/>
              <w:left w:type="dxa" w:w="160"/>
              <w:bottom w:type="dxa" w:w="100"/>
              <w:right w:type="dxa" w:w="160"/>
            </w:tcMar>
          </w:tcPr>
          <w:p>
            <w:pPr>
              <w:spacing w:before="0" w:after="0"/>
            </w:pPr>
            <w:r>
              <w:rPr>
                <w:rFonts w:ascii="Arial" w:cs="Arial" w:eastAsia="Arial" w:hAnsi="Arial"/>
                <w:color w:val="000000"/>
                <w:sz w:val="21"/>
                <w:szCs w:val="21"/>
              </w:rPr>
              <w:t xml:space="preserve">AUDITOR SELECTION NOTE: The ISAE 3402 audit must be conducted by a registered auditor (registeraccountant in the Netherlands). Suitable firms: KPMG, Deloitte, EY, BDO, Mazars. Engage early — audit planning and scoping takes 2–3 months before fieldwork begins.</w:t>
            </w:r>
          </w:p>
        </w:tc>
      </w:tr>
    </w:tbl>
    <w:p>
      <w:pPr>
        <w:spacing w:before="80" w:after="0"/>
      </w:pPr>
    </w:p>
    <w:p>
      <w:pPr>
        <w:pStyle w:val="Heading1"/>
        <w:pBdr>
          <w:bottom w:val="single" w:color="2E5FA3" w:sz="6" w:space="4"/>
        </w:pBdr>
        <w:spacing w:before="360" w:after="120"/>
      </w:pPr>
      <w:r>
        <w:rPr>
          <w:rFonts w:ascii="Arial" w:cs="Arial" w:eastAsia="Arial" w:hAnsi="Arial"/>
          <w:b/>
          <w:bCs/>
          <w:color w:val="1F3864"/>
          <w:sz w:val="32"/>
          <w:szCs w:val="32"/>
        </w:rPr>
        <w:t xml:space="preserve">10.  Product MoSCoW Action Register</w:t>
      </w:r>
    </w:p>
    <w:p>
      <w:pPr>
        <w:pStyle w:val="Heading2"/>
        <w:spacing w:before="280" w:after="80"/>
      </w:pPr>
      <w:r>
        <w:rPr>
          <w:rFonts w:ascii="Arial" w:cs="Arial" w:eastAsia="Arial" w:hAnsi="Arial"/>
          <w:b/>
          <w:bCs/>
          <w:color w:val="2E5FA3"/>
          <w:sz w:val="26"/>
          <w:szCs w:val="26"/>
        </w:rPr>
        <w:t xml:space="preserve">MUST — Pre-launch or immediately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
        <w:gridCol w:w="5100"/>
        <w:gridCol w:w="2100"/>
        <w:gridCol w:w="1800"/>
      </w:tblGrid>
      <w:tr>
        <w:trPr>
          <w:tblHeader/>
        </w:trPr>
        <w:tc>
          <w:tcPr>
            <w:tcW w:type="dxa" w:w="3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t>
            </w:r>
          </w:p>
        </w:tc>
        <w:tc>
          <w:tcPr>
            <w:tcW w:type="dxa" w:w="51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Action</w:t>
            </w:r>
          </w:p>
        </w:tc>
        <w:tc>
          <w:tcPr>
            <w:tcW w:type="dxa" w:w="21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Owner</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Deadline</w:t>
            </w:r>
          </w:p>
        </w:tc>
      </w:tr>
      <w:tr>
        <w:tc>
          <w:tcPr>
            <w:tcW w:type="dxa" w:w="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P-M1</w:t>
            </w:r>
          </w:p>
        </w:tc>
        <w:tc>
          <w:tcPr>
            <w:tcW w:type="dxa" w:w="5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AIFMD 2.0 gap analysis: map all new/amended fields against current Eagle YAML validation rules</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 + CTO</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Immediately — NL/LU deadline 16 Apr 2026</w:t>
            </w:r>
          </w:p>
        </w:tc>
      </w:tr>
      <w:tr>
        <w:tc>
          <w:tcPr>
            <w:tcW w:type="dxa" w:w="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P-M2</w:t>
            </w:r>
          </w:p>
        </w:tc>
        <w:tc>
          <w:tcPr>
            <w:tcW w:type="dxa" w:w="5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Draft DORA-compliant standard contract including AFM (Wft) and CSSF (Circular 25/882) specific provisions</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CEO + legal counsel</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Before first contract</w:t>
            </w:r>
          </w:p>
        </w:tc>
      </w:tr>
      <w:tr>
        <w:tc>
          <w:tcPr>
            <w:tcW w:type="dxa" w:w="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P-M3</w:t>
            </w:r>
          </w:p>
        </w:tc>
        <w:tc>
          <w:tcPr>
            <w:tcW w:type="dxa" w:w="5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Draft Luxembourg-specific contract addendum covering CSSF Circular 25/882 additional requirements</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CEO + legal counsel</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Before first LU client</w:t>
            </w:r>
          </w:p>
        </w:tc>
      </w:tr>
      <w:tr>
        <w:tc>
          <w:tcPr>
            <w:tcW w:type="dxa" w:w="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P-M4</w:t>
            </w:r>
          </w:p>
        </w:tc>
        <w:tc>
          <w:tcPr>
            <w:tcW w:type="dxa" w:w="5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Obtain LEI number for Eagle B.V. (required for client DORA register entries)</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CEO / COO</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Before first NL client onboarding</w:t>
            </w:r>
          </w:p>
        </w:tc>
      </w:tr>
      <w:tr>
        <w:tc>
          <w:tcPr>
            <w:tcW w:type="dxa" w:w="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P-M5</w:t>
            </w:r>
          </w:p>
        </w:tc>
        <w:tc>
          <w:tcPr>
            <w:tcW w:type="dxa" w:w="5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Define and document contractual liability model including explicit regulatory fine exclusion clause</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CEO + legal counsel</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Before first contract</w:t>
            </w:r>
          </w:p>
        </w:tc>
      </w:tr>
      <w:tr>
        <w:tc>
          <w:tcPr>
            <w:tcW w:type="dxa" w:w="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P-M6</w:t>
            </w:r>
          </w:p>
        </w:tc>
        <w:tc>
          <w:tcPr>
            <w:tcW w:type="dxa" w:w="5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Execute Anthropic DPA; conduct Transfer Impact Assessment; document sub-processor notification mechanism</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 + CTO</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Before any client data flows to Claude API</w:t>
            </w:r>
          </w:p>
        </w:tc>
      </w:tr>
      <w:tr>
        <w:tc>
          <w:tcPr>
            <w:tcW w:type="dxa" w:w="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P-M7</w:t>
            </w:r>
          </w:p>
        </w:tc>
        <w:tc>
          <w:tcPr>
            <w:tcW w:type="dxa" w:w="5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Implement mandatory pre-submission client review gate as non-optional product workflow</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CTO</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Pre-launch</w:t>
            </w:r>
          </w:p>
        </w:tc>
      </w:tr>
      <w:tr>
        <w:tc>
          <w:tcPr>
            <w:tcW w:type="dxa" w:w="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P-M8</w:t>
            </w:r>
          </w:p>
        </w:tc>
        <w:tc>
          <w:tcPr>
            <w:tcW w:type="dxa" w:w="5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Implement AI Act Art. 50 transparency disclosures in product UI (label AI-generated elements)</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CTO</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At launch</w:t>
            </w:r>
          </w:p>
        </w:tc>
      </w:tr>
      <w:tr>
        <w:tc>
          <w:tcPr>
            <w:tcW w:type="dxa" w:w="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P-M9</w:t>
            </w:r>
          </w:p>
        </w:tc>
        <w:tc>
          <w:tcPr>
            <w:tcW w:type="dxa" w:w="5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Create Use of AI Register documenting Claude deployment scope, tasks, inputs, outputs, oversight controls</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CTO + Head of Compliance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At launch</w:t>
            </w:r>
          </w:p>
        </w:tc>
      </w:tr>
      <w:tr>
        <w:tc>
          <w:tcPr>
            <w:tcW w:type="dxa" w:w="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P-M10</w:t>
            </w:r>
          </w:p>
        </w:tc>
        <w:tc>
          <w:tcPr>
            <w:tcW w:type="dxa" w:w="5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Draft AI governance summary document for client due diligence (covering ESMA/EBA five-dimension framework)</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 + CTO</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Before first enterprise prospect DD</w:t>
            </w:r>
          </w:p>
        </w:tc>
      </w:tr>
      <w:tr>
        <w:tc>
          <w:tcPr>
            <w:tcW w:type="dxa" w:w="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P-M11</w:t>
            </w:r>
          </w:p>
        </w:tc>
        <w:tc>
          <w:tcPr>
            <w:tcW w:type="dxa" w:w="5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Implement ICT incident management procedure with DORA notification timelines and CSSF Circular 24/847 requirements</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CTO + Head of Compliance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Pre-launch</w:t>
            </w:r>
          </w:p>
        </w:tc>
      </w:tr>
      <w:tr>
        <w:tc>
          <w:tcPr>
            <w:tcW w:type="dxa" w:w="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P-M12</w:t>
            </w:r>
          </w:p>
        </w:tc>
        <w:tc>
          <w:tcPr>
            <w:tcW w:type="dxa" w:w="5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Establish AIFMD 2.0 / NCA horizon scanning process (AFM + CSSF guidance, ESMA Q&amp;A updates)</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Ongoing from launch</w:t>
            </w:r>
          </w:p>
        </w:tc>
      </w:tr>
      <w:tr>
        <w:tc>
          <w:tcPr>
            <w:tcW w:type="dxa" w:w="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P-M13</w:t>
            </w:r>
          </w:p>
        </w:tc>
        <w:tc>
          <w:tcPr>
            <w:tcW w:type="dxa" w:w="5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Document AI classification safeguard policy: conditions that trigger mandatory re-classification review; sign-off process</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At launch</w:t>
            </w:r>
          </w:p>
        </w:tc>
      </w:tr>
    </w:tbl>
    <w:p>
      <w:pPr>
        <w:spacing w:before="80" w:after="0"/>
      </w:pPr>
    </w:p>
    <w:p>
      <w:pPr>
        <w:pStyle w:val="Heading2"/>
        <w:spacing w:before="280" w:after="80"/>
      </w:pPr>
      <w:r>
        <w:rPr>
          <w:rFonts w:ascii="Arial" w:cs="Arial" w:eastAsia="Arial" w:hAnsi="Arial"/>
          <w:b/>
          <w:bCs/>
          <w:color w:val="2E5FA3"/>
          <w:sz w:val="26"/>
          <w:szCs w:val="26"/>
        </w:rPr>
        <w:t xml:space="preserve">SHOULD — Phase 1 (within 6 months of launch)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
        <w:gridCol w:w="5100"/>
        <w:gridCol w:w="2100"/>
        <w:gridCol w:w="1800"/>
      </w:tblGrid>
      <w:tr>
        <w:trPr>
          <w:tblHeader/>
        </w:trPr>
        <w:tc>
          <w:tcPr>
            <w:tcW w:type="dxa" w:w="3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120"/>
            </w:tcMar>
          </w:tcPr>
          <w:p>
            <w:pPr>
              <w:spacing w:before="0" w:after="0"/>
            </w:pPr>
            <w:r>
              <w:rPr>
                <w:rFonts w:ascii="Arial" w:cs="Arial" w:eastAsia="Arial" w:hAnsi="Arial"/>
                <w:b/>
                <w:bCs/>
                <w:color w:val="1F3864"/>
                <w:sz w:val="20"/>
                <w:szCs w:val="20"/>
              </w:rPr>
              <w:t xml:space="preserve">#</w:t>
            </w:r>
          </w:p>
        </w:tc>
        <w:tc>
          <w:tcPr>
            <w:tcW w:type="dxa" w:w="51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120"/>
            </w:tcMar>
          </w:tcPr>
          <w:p>
            <w:pPr>
              <w:spacing w:before="0" w:after="0"/>
            </w:pPr>
            <w:r>
              <w:rPr>
                <w:rFonts w:ascii="Arial" w:cs="Arial" w:eastAsia="Arial" w:hAnsi="Arial"/>
                <w:b/>
                <w:bCs/>
                <w:color w:val="1F3864"/>
                <w:sz w:val="20"/>
                <w:szCs w:val="20"/>
              </w:rPr>
              <w:t xml:space="preserve">Action</w:t>
            </w:r>
          </w:p>
        </w:tc>
        <w:tc>
          <w:tcPr>
            <w:tcW w:type="dxa" w:w="21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120"/>
            </w:tcMar>
          </w:tcPr>
          <w:p>
            <w:pPr>
              <w:spacing w:before="0" w:after="0"/>
            </w:pPr>
            <w:r>
              <w:rPr>
                <w:rFonts w:ascii="Arial" w:cs="Arial" w:eastAsia="Arial" w:hAnsi="Arial"/>
                <w:b/>
                <w:bCs/>
                <w:color w:val="1F3864"/>
                <w:sz w:val="20"/>
                <w:szCs w:val="20"/>
              </w:rPr>
              <w:t xml:space="preserve">Owner</w:t>
            </w:r>
          </w:p>
        </w:tc>
        <w:tc>
          <w:tcPr>
            <w:tcW w:type="dxa" w:w="18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120"/>
            </w:tcMar>
          </w:tcPr>
          <w:p>
            <w:pPr>
              <w:spacing w:before="0" w:after="0"/>
            </w:pPr>
            <w:r>
              <w:rPr>
                <w:rFonts w:ascii="Arial" w:cs="Arial" w:eastAsia="Arial" w:hAnsi="Arial"/>
                <w:b/>
                <w:bCs/>
                <w:color w:val="1F3864"/>
                <w:sz w:val="20"/>
                <w:szCs w:val="20"/>
              </w:rPr>
              <w:t xml:space="preserve">Deadline</w:t>
            </w:r>
          </w:p>
        </w:tc>
      </w:tr>
      <w:tr>
        <w:tc>
          <w:tcPr>
            <w:tcW w:type="dxa" w:w="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P-S1</w:t>
            </w:r>
          </w:p>
        </w:tc>
        <w:tc>
          <w:tcPr>
            <w:tcW w:type="dxa" w:w="5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ISAE 3402 Type I: select auditor, define control objectives, complete Type I assessment</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6–9 months post first client</w:t>
            </w:r>
          </w:p>
        </w:tc>
      </w:tr>
      <w:tr>
        <w:tc>
          <w:tcPr>
            <w:tcW w:type="dxa" w:w="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P-S2</w:t>
            </w:r>
          </w:p>
        </w:tc>
        <w:tc>
          <w:tcPr>
            <w:tcW w:type="dxa" w:w="5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Draft Art. 3 sub-threshold AIFM contract template (exempt from DORA — different provisions required)</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CEO + legal counsel</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Before first sub-threshold client</w:t>
            </w:r>
          </w:p>
        </w:tc>
      </w:tr>
      <w:tr>
        <w:tc>
          <w:tcPr>
            <w:tcW w:type="dxa" w:w="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P-S3</w:t>
            </w:r>
          </w:p>
        </w:tc>
        <w:tc>
          <w:tcPr>
            <w:tcW w:type="dxa" w:w="5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Document DORA BCP/DR plan with defined RTO/RPO; test annually</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CTO</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Phase 1</w:t>
            </w:r>
          </w:p>
        </w:tc>
      </w:tr>
      <w:tr>
        <w:tc>
          <w:tcPr>
            <w:tcW w:type="dxa" w:w="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P-S4</w:t>
            </w:r>
          </w:p>
        </w:tc>
        <w:tc>
          <w:tcPr>
            <w:tcW w:type="dxa" w:w="5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Maintain AFM/CSSF Q&amp;A and NCA-specific override log; review quarterly</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Ongoing</w:t>
            </w:r>
          </w:p>
        </w:tc>
      </w:tr>
    </w:tbl>
    <w:p>
      <w:pPr>
        <w:spacing w:before="80" w:after="0"/>
      </w:pPr>
    </w:p>
    <w:p>
      <w:pPr>
        <w:pStyle w:val="Heading2"/>
        <w:spacing w:before="280" w:after="80"/>
      </w:pPr>
      <w:r>
        <w:rPr>
          <w:rFonts w:ascii="Arial" w:cs="Arial" w:eastAsia="Arial" w:hAnsi="Arial"/>
          <w:b/>
          <w:bCs/>
          <w:color w:val="2E5FA3"/>
          <w:sz w:val="26"/>
          <w:szCs w:val="26"/>
        </w:rPr>
        <w:t xml:space="preserve">COULD — Phase 2</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
        <w:gridCol w:w="5100"/>
        <w:gridCol w:w="2100"/>
        <w:gridCol w:w="1800"/>
      </w:tblGrid>
      <w:tr>
        <w:trPr>
          <w:tblHeader/>
        </w:trPr>
        <w:tc>
          <w:tcPr>
            <w:tcW w:type="dxa" w:w="300"/>
            <w:tcBorders>
              <w:top w:val="single" w:color="BBBBBB" w:sz="1"/>
              <w:left w:val="single" w:color="BBBBBB" w:sz="1"/>
              <w:bottom w:val="single" w:color="BBBBBB" w:sz="1"/>
              <w:right w:val="single" w:color="BBBBBB" w:sz="1"/>
            </w:tcBorders>
            <w:shd w:fill="005F6B" w:val="clear"/>
            <w:tcMar>
              <w:top w:type="dxa" w:w="80"/>
              <w:left w:type="dxa" w:w="120"/>
              <w:bottom w:type="dxa" w:w="80"/>
              <w:right w:type="dxa" w:w="120"/>
            </w:tcMar>
          </w:tcPr>
          <w:p>
            <w:pPr>
              <w:spacing w:before="0" w:after="0"/>
            </w:pPr>
            <w:r>
              <w:rPr>
                <w:rFonts w:ascii="Arial" w:cs="Arial" w:eastAsia="Arial" w:hAnsi="Arial"/>
                <w:b/>
                <w:bCs/>
                <w:color w:val="1F3864"/>
                <w:sz w:val="20"/>
                <w:szCs w:val="20"/>
              </w:rPr>
              <w:t xml:space="preserve">#</w:t>
            </w:r>
          </w:p>
        </w:tc>
        <w:tc>
          <w:tcPr>
            <w:tcW w:type="dxa" w:w="5100"/>
            <w:tcBorders>
              <w:top w:val="single" w:color="BBBBBB" w:sz="1"/>
              <w:left w:val="single" w:color="BBBBBB" w:sz="1"/>
              <w:bottom w:val="single" w:color="BBBBBB" w:sz="1"/>
              <w:right w:val="single" w:color="BBBBBB" w:sz="1"/>
            </w:tcBorders>
            <w:shd w:fill="005F6B" w:val="clear"/>
            <w:tcMar>
              <w:top w:type="dxa" w:w="80"/>
              <w:left w:type="dxa" w:w="120"/>
              <w:bottom w:type="dxa" w:w="80"/>
              <w:right w:type="dxa" w:w="120"/>
            </w:tcMar>
          </w:tcPr>
          <w:p>
            <w:pPr>
              <w:spacing w:before="0" w:after="0"/>
            </w:pPr>
            <w:r>
              <w:rPr>
                <w:rFonts w:ascii="Arial" w:cs="Arial" w:eastAsia="Arial" w:hAnsi="Arial"/>
                <w:b/>
                <w:bCs/>
                <w:color w:val="1F3864"/>
                <w:sz w:val="20"/>
                <w:szCs w:val="20"/>
              </w:rPr>
              <w:t xml:space="preserve">Action</w:t>
            </w:r>
          </w:p>
        </w:tc>
        <w:tc>
          <w:tcPr>
            <w:tcW w:type="dxa" w:w="2100"/>
            <w:tcBorders>
              <w:top w:val="single" w:color="BBBBBB" w:sz="1"/>
              <w:left w:val="single" w:color="BBBBBB" w:sz="1"/>
              <w:bottom w:val="single" w:color="BBBBBB" w:sz="1"/>
              <w:right w:val="single" w:color="BBBBBB" w:sz="1"/>
            </w:tcBorders>
            <w:shd w:fill="005F6B" w:val="clear"/>
            <w:tcMar>
              <w:top w:type="dxa" w:w="80"/>
              <w:left w:type="dxa" w:w="120"/>
              <w:bottom w:type="dxa" w:w="80"/>
              <w:right w:type="dxa" w:w="120"/>
            </w:tcMar>
          </w:tcPr>
          <w:p>
            <w:pPr>
              <w:spacing w:before="0" w:after="0"/>
            </w:pPr>
            <w:r>
              <w:rPr>
                <w:rFonts w:ascii="Arial" w:cs="Arial" w:eastAsia="Arial" w:hAnsi="Arial"/>
                <w:b/>
                <w:bCs/>
                <w:color w:val="1F3864"/>
                <w:sz w:val="20"/>
                <w:szCs w:val="20"/>
              </w:rPr>
              <w:t xml:space="preserve">Owner</w:t>
            </w:r>
          </w:p>
        </w:tc>
        <w:tc>
          <w:tcPr>
            <w:tcW w:type="dxa" w:w="1800"/>
            <w:tcBorders>
              <w:top w:val="single" w:color="BBBBBB" w:sz="1"/>
              <w:left w:val="single" w:color="BBBBBB" w:sz="1"/>
              <w:bottom w:val="single" w:color="BBBBBB" w:sz="1"/>
              <w:right w:val="single" w:color="BBBBBB" w:sz="1"/>
            </w:tcBorders>
            <w:shd w:fill="005F6B" w:val="clear"/>
            <w:tcMar>
              <w:top w:type="dxa" w:w="80"/>
              <w:left w:type="dxa" w:w="120"/>
              <w:bottom w:type="dxa" w:w="80"/>
              <w:right w:type="dxa" w:w="120"/>
            </w:tcMar>
          </w:tcPr>
          <w:p>
            <w:pPr>
              <w:spacing w:before="0" w:after="0"/>
            </w:pPr>
            <w:r>
              <w:rPr>
                <w:rFonts w:ascii="Arial" w:cs="Arial" w:eastAsia="Arial" w:hAnsi="Arial"/>
                <w:b/>
                <w:bCs/>
                <w:color w:val="1F3864"/>
                <w:sz w:val="20"/>
                <w:szCs w:val="20"/>
              </w:rPr>
              <w:t xml:space="preserve">Deadline</w:t>
            </w:r>
          </w:p>
        </w:tc>
      </w:tr>
      <w:tr>
        <w:tc>
          <w:tcPr>
            <w:tcW w:type="dxa" w:w="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P-C1</w:t>
            </w:r>
          </w:p>
        </w:tc>
        <w:tc>
          <w:tcPr>
            <w:tcW w:type="dxa" w:w="5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ISAE 3402 Type II certification</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18 months post first client</w:t>
            </w:r>
          </w:p>
        </w:tc>
      </w:tr>
      <w:tr>
        <w:tc>
          <w:tcPr>
            <w:tcW w:type="dxa" w:w="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P-C2</w:t>
            </w:r>
          </w:p>
        </w:tc>
        <w:tc>
          <w:tcPr>
            <w:tcW w:type="dxa" w:w="5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SOC 2 Type I (if US client volume justifies)</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Phase 2</w:t>
            </w:r>
          </w:p>
        </w:tc>
      </w:tr>
      <w:tr>
        <w:tc>
          <w:tcPr>
            <w:tcW w:type="dxa" w:w="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P-C3</w:t>
            </w:r>
          </w:p>
        </w:tc>
        <w:tc>
          <w:tcPr>
            <w:tcW w:type="dxa" w:w="5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Monitor ESA CTPP designation register; assess Eagle's potential designation risk at each growth milestone</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Annual review</w:t>
            </w:r>
          </w:p>
        </w:tc>
      </w:tr>
      <w:tr>
        <w:tc>
          <w:tcPr>
            <w:tcW w:type="dxa" w:w="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P-C4</w:t>
            </w:r>
          </w:p>
        </w:tc>
        <w:tc>
          <w:tcPr>
            <w:tcW w:type="dxa" w:w="5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TLPT (Threat-Led Penetration Testing) readiness — prepare for CTPP designation implications</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CTO + Head of Compliance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Phase 2</w:t>
            </w:r>
          </w:p>
        </w:tc>
      </w:tr>
      <w:tr>
        <w:tc>
          <w:tcPr>
            <w:tcW w:type="dxa" w:w="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P-C5</w:t>
            </w:r>
          </w:p>
        </w:tc>
        <w:tc>
          <w:tcPr>
            <w:tcW w:type="dxa" w:w="5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SFDR/ESG scope evaluation (regulatory monitoring only — no build)</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Phase 2</w:t>
            </w:r>
          </w:p>
        </w:tc>
      </w:tr>
    </w:tbl>
    <w:p>
      <w:pPr>
        <w:spacing w:before="80" w:after="0"/>
      </w:pPr>
    </w:p>
    <w:p>
      <w:pPr>
        <w:pStyle w:val="Heading2"/>
        <w:spacing w:before="280" w:after="80"/>
      </w:pPr>
      <w:r>
        <w:rPr>
          <w:rFonts w:ascii="Arial" w:cs="Arial" w:eastAsia="Arial" w:hAnsi="Arial"/>
          <w:b/>
          <w:bCs/>
          <w:color w:val="2E5FA3"/>
          <w:sz w:val="26"/>
          <w:szCs w:val="26"/>
        </w:rPr>
        <w:t xml:space="preserve">WON'T — Not applicable now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Item</w:t>
            </w:r>
          </w:p>
        </w:tc>
        <w:tc>
          <w:tcPr>
            <w:tcW w:type="dxa" w:w="7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Rationale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SFDR implementation</w:t>
            </w:r>
          </w:p>
        </w:tc>
        <w:tc>
          <w:tcPr>
            <w:tcW w:type="dxa" w:w="7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Out of scope Phase 1.</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FCA SS2/21 UK outsourcing compliance</w:t>
            </w:r>
          </w:p>
        </w:tc>
        <w:tc>
          <w:tcPr>
            <w:tcW w:type="dxa" w:w="7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UK and US clients use Eagle for EU regulatory reporting only. UK FCA oversight does not attach to Eagle's EU service.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CCPA/CPRA product compliance</w:t>
            </w:r>
          </w:p>
        </w:tc>
        <w:tc>
          <w:tcPr>
            <w:tcW w:type="dxa" w:w="7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Annex IV reporting contains no personal data. Non-EU clients do not introduce US data protection obligations into the product.</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MiFID II DRSP registration</w:t>
            </w:r>
          </w:p>
        </w:tc>
        <w:tc>
          <w:tcPr>
            <w:tcW w:type="dxa" w:w="7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Annex IV is AIFMD reporting, not MiFIR transaction reporting.</w:t>
            </w:r>
          </w:p>
        </w:tc>
      </w:tr>
    </w:tbl>
    <w:p>
      <w:pPr>
        <w:spacing w:before="80" w:after="0"/>
      </w:pPr>
    </w:p>
    <w:p>
      <w:pPr>
        <w:pStyle w:val="Heading1"/>
        <w:pBdr>
          <w:bottom w:val="single" w:color="2E5FA3" w:sz="6" w:space="4"/>
        </w:pBdr>
        <w:spacing w:before="360" w:after="120"/>
      </w:pPr>
      <w:r>
        <w:rPr>
          <w:rFonts w:ascii="Arial" w:cs="Arial" w:eastAsia="Arial" w:hAnsi="Arial"/>
          <w:b/>
          <w:bCs/>
          <w:color w:val="1F3864"/>
          <w:sz w:val="32"/>
          <w:szCs w:val="32"/>
        </w:rPr>
        <w:t xml:space="preserve">11.  Closing Note</w:t>
      </w:r>
    </w:p>
    <w:p>
      <w:pPr>
        <w:spacing w:before="40" w:after="40"/>
      </w:pPr>
      <w:r>
        <w:rPr>
          <w:rFonts w:ascii="Arial" w:cs="Arial" w:eastAsia="Arial" w:hAnsi="Arial"/>
          <w:color w:val="000000"/>
          <w:sz w:val="22"/>
          <w:szCs w:val="22"/>
        </w:rPr>
        <w:t xml:space="preserve">Project Eagle's design is well-positioned against the product regulatory landscape. The deterministic core (Principle 5), human-by-exception mandate (Principle 2), and full audit trail (Principle 8) directly address the explainability and oversight requirements that ESMA, EBA, the AFM and the CSSF all require.</w:t>
      </w:r>
    </w:p>
    <w:p>
      <w:pPr>
        <w:spacing w:before="80" w:after="0"/>
      </w:pPr>
    </w:p>
    <w:p>
      <w:pPr>
        <w:spacing w:before="40" w:after="40"/>
      </w:pPr>
      <w:r>
        <w:rPr>
          <w:rFonts w:ascii="Arial" w:cs="Arial" w:eastAsia="Arial" w:hAnsi="Arial"/>
          <w:color w:val="000000"/>
          <w:sz w:val="22"/>
          <w:szCs w:val="22"/>
        </w:rPr>
        <w:t xml:space="preserve">The conditional non-high-risk AI Act classification is Eagle's most structurally important compliance position. It is earned by design — and can be lost by a single product decision that bypasses the deterministic core. Maintaining it requires the formal re-classification trigger (P-M13) as a standing governance control.</w:t>
      </w:r>
    </w:p>
    <w:p>
      <w:pPr>
        <w:spacing w:before="80" w:after="0"/>
      </w:pPr>
    </w:p>
    <w:p>
      <w:pPr>
        <w:spacing w:before="40" w:after="40"/>
      </w:pPr>
      <w:r>
        <w:rPr>
          <w:rFonts w:ascii="Arial" w:cs="Arial" w:eastAsia="Arial" w:hAnsi="Arial"/>
          <w:color w:val="000000"/>
          <w:sz w:val="22"/>
          <w:szCs w:val="22"/>
        </w:rPr>
        <w:t xml:space="preserve">The two most time-critical items are: the AIFMD 2.0 gap analysis (P-M1) given the 16 April 2026 deadline, and the certification programme given RFP evidence. These should be treated as parallel tracks starting immediately.</w:t>
      </w:r>
    </w:p>
    <w:p>
      <w:pPr>
        <w:spacing w:before="80" w:after="0"/>
      </w:pPr>
    </w:p>
    <w:tbl>
      <w:tblPr>
        <w:tblW w:type="dxa" w:w="9200"/>
        <w:tblBorders>
          <w:top w:val="none"/>
          <w:left w:val="none"/>
          <w:bottom w:val="none"/>
          <w:right w:val="none"/>
          <w:insideH w:val="single" w:color="auto" w:sz="4"/>
          <w:insideV w:val="single" w:color="auto" w:sz="4"/>
        </w:tblBorders>
      </w:tblPr>
      <w:tblGrid>
        <w:gridCol w:w="180"/>
        <w:gridCol w:w="9020"/>
      </w:tblGrid>
      <w:tr>
        <w:tc>
          <w:tcPr>
            <w:tcW w:type="dxa" w:w="180"/>
            <w:tcBorders>
              <w:top w:val="none"/>
              <w:left w:val="single" w:color="595959" w:sz="18"/>
              <w:bottom w:val="none"/>
              <w:right w:val="none"/>
            </w:tcBorders>
            <w:shd w:fill="F2F2F2" w:val="clear"/>
            <w:tcMar>
              <w:top w:type="dxa" w:w="80"/>
              <w:left w:type="dxa" w:w="160"/>
              <w:bottom w:type="dxa" w:w="80"/>
              <w:right w:type="dxa" w:w="80"/>
            </w:tcMar>
          </w:tcPr>
          <w:p/>
        </w:tc>
        <w:tc>
          <w:tcPr>
            <w:tcW w:type="dxa" w:w="9020"/>
            <w:tcBorders>
              <w:top w:val="single" w:color="BBBBBB" w:sz="1"/>
              <w:left w:val="single" w:color="BBBBBB" w:sz="1"/>
              <w:bottom w:val="single" w:color="BBBBBB" w:sz="1"/>
              <w:right w:val="single" w:color="BBBBBB" w:sz="1"/>
            </w:tcBorders>
            <w:shd w:fill="F2F2F2" w:val="clear"/>
            <w:tcMar>
              <w:top w:type="dxa" w:w="100"/>
              <w:left w:type="dxa" w:w="160"/>
              <w:bottom w:type="dxa" w:w="100"/>
              <w:right w:type="dxa" w:w="160"/>
            </w:tcMar>
          </w:tcPr>
          <w:p>
            <w:pPr>
              <w:spacing w:before="0" w:after="0"/>
            </w:pPr>
            <w:r>
              <w:rPr>
                <w:rFonts w:ascii="Arial" w:cs="Arial" w:eastAsia="Arial" w:hAnsi="Arial"/>
                <w:color w:val="000000"/>
                <w:sz w:val="21"/>
                <w:szCs w:val="21"/>
              </w:rPr>
              <w:t xml:space="preserve">This document covers product regulatory obligations only. For entity-level obligations — GDPR controller, Wft licensing, NIS2, ISO 27001 ISMS, AFM/DNB AI supervisory expectations, DORA indirect exposure and CTPP risk, and the certification roadmap — refer to the companion Company Compliance document.</w:t>
            </w:r>
          </w:p>
        </w:tc>
      </w:tr>
    </w:tbl>
    <w:p>
      <w:pPr>
        <w:spacing w:before="160" w:after="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spacing w:before="80" w:after="0"/>
      <w:jc w:val="right"/>
    </w:pPr>
    <w:r>
      <w:rPr>
        <w:rFonts w:ascii="Arial" w:cs="Arial" w:eastAsia="Arial" w:hAnsi="Arial"/>
        <w:color w:val="595959"/>
        <w:sz w:val="18"/>
        <w:szCs w:val="18"/>
      </w:rPr>
      <w:t xml:space="preserve">Internal use only  |  March 2026  |  Not legal advice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spacing w:before="0" w:after="80"/>
    </w:pPr>
    <w:r>
      <w:rPr>
        <w:rFonts w:ascii="Arial" w:cs="Arial" w:eastAsia="Arial" w:hAnsi="Arial"/>
        <w:color w:val="595959"/>
        <w:sz w:val="18"/>
        <w:szCs w:val="18"/>
      </w:rPr>
      <w:t xml:space="preserve">PROJECT EAGLE  |  Product Compliance  v2.0</w:t>
    </w:r>
    <w:r>
      <w:rPr>
        <w:rFonts w:ascii="Arial" w:cs="Arial" w:eastAsia="Arial" w:hAnsi="Arial"/>
        <w:b/>
        <w:bCs/>
        <w:color w:val="C0000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20"/>
      <w:outlineLvl w:val="0"/>
    </w:pPr>
    <w:rPr>
      <w:rFonts w:ascii="Arial" w:cs="Arial" w:eastAsia="Arial" w:hAnsi="Arial"/>
      <w:b/>
      <w:bCs/>
      <w:color w:val="1F3864"/>
      <w:sz w:val="32"/>
      <w:szCs w:val="32"/>
    </w:rPr>
  </w:style>
  <w:style w:type="paragraph" w:styleId="Heading2">
    <w:name w:val="Heading 2"/>
    <w:basedOn w:val="Normal"/>
    <w:next w:val="Normal"/>
    <w:pPr>
      <w:spacing w:before="280" w:after="80"/>
      <w:outlineLvl w:val="1"/>
    </w:pPr>
    <w:rPr>
      <w:rFonts w:ascii="Arial" w:cs="Arial" w:eastAsia="Arial" w:hAnsi="Arial"/>
      <w:b/>
      <w:bCs/>
      <w:color w:val="2E5FA3"/>
      <w:sz w:val="26"/>
      <w:szCs w:val="26"/>
    </w:rPr>
  </w:style>
  <w:style w:type="paragraph" w:styleId="Heading3">
    <w:name w:val="Heading 3"/>
    <w:basedOn w:val="Normal"/>
    <w:next w:val="Normal"/>
    <w:pPr>
      <w:spacing w:before="200" w:after="6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2026-03-21T11:38:05.437Z</dcterms:created>
  <dcterms:modified xsi:type="dcterms:W3CDTF">2026-03-21T11:38:05.438Z</dcterms:modified>
</cp:coreProperties>
</file>

<file path=docProps/custom.xml><?xml version="1.0" encoding="utf-8"?>
<Properties xmlns="http://schemas.openxmlformats.org/officeDocument/2006/custom-properties" xmlns:vt="http://schemas.openxmlformats.org/officeDocument/2006/docPropsVTypes"/>
</file>