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Coloplus Remote Monitoring Portal</w:t>
      </w:r>
    </w:p>
    <w:p>
      <w:pPr>
        <w:pStyle w:val="Subtitle"/>
      </w:pPr>
      <w:r>
        <w:t>Product requirements for Airtel access</w:t>
      </w:r>
    </w:p>
    <w:p>
      <w:r>
        <w:t>Version 1.1  |  24 October 2026  |  Proposed scope for product and engineering review</w:t>
      </w:r>
    </w:p>
    <w:p>
      <w:pPr>
        <w:pStyle w:val="Heading2"/>
      </w:pPr>
      <w:r>
        <w:t>1 Purpose and product position</w:t>
      </w:r>
    </w:p>
    <w:p>
      <w:r>
        <w:t>Build a secure Coloplus portal that gives Airtel a consistent view of site power service, incidents, maintenance and supporting evidence. Operations teams will enter observations manually or upload structured records. A controlled calculation engine will derive selected metrics from those inputs and approved site assumptions.</w:t>
      </w:r>
    </w:p>
    <w:p>
      <w:r>
        <w:t>Airtel receives a polished monitoring dashboard with site condition, power history, faults, downtime and restoration updates. Manual capture and formula configuration sit within Coloplus operations screens. Neutral customer labels such as “Latest site status”, “Last updated” and “Fault history” keep the main interface clear. Record details retain the data basis. Estimated values remain identifiable, and neither a screen refresh nor a calculation implies a new physical observation.</w:t>
      </w:r>
    </w:p>
    <w:p>
      <w:pPr>
        <w:pStyle w:val="Heading2"/>
      </w:pPr>
      <w:r>
        <w:t>2 Outcomes</w:t>
      </w:r>
    </w:p>
    <w:p>
      <w:pPr>
        <w:pStyle w:val="ListBullet"/>
      </w:pPr>
      <w:r>
        <w:t>Give Airtel a site by site view of service performance, unresolved issues, accountable owners and recovery plans.</w:t>
      </w:r>
    </w:p>
    <w:p>
      <w:pPr>
        <w:pStyle w:val="ListBullet"/>
      </w:pPr>
      <w:r>
        <w:t>Reduce inconsistent spreadsheets and provide one traceable record for daily reporting and monthly reconciliation.</w:t>
      </w:r>
    </w:p>
    <w:p>
      <w:pPr>
        <w:pStyle w:val="ListBullet"/>
      </w:pPr>
      <w:r>
        <w:t>Support useful estimates without presenting assumed energy, runtime or fuel consumption as meter readings.</w:t>
      </w:r>
    </w:p>
    <w:p>
      <w:pPr>
        <w:pStyle w:val="ListBullet"/>
      </w:pPr>
      <w:r>
        <w:t>Separate site delivery and acceptance from ongoing service performance, with a visible reason for each outstanding action.</w:t>
      </w:r>
    </w:p>
    <w:p>
      <w:pPr>
        <w:pStyle w:val="Heading2"/>
      </w:pPr>
      <w:r>
        <w:t>3 Assumptions and boundaries</w:t>
      </w:r>
    </w:p>
    <w:p>
      <w:r>
        <w:t>Initial scope assumes telecom sites supported by Coloplus, with building supply, grid, generator, battery or a combination of sources. Enable fields only for equipment actually installed. The site count, asset configurations, reporting cadence and Airtel contractual definitions require discovery.</w:t>
      </w:r>
    </w:p>
    <w:p>
      <w:r>
        <w:t>MVP includes manual forms, spreadsheet imports and deterministic formulas. It excludes mandatory power meters, automatic fault detection, remote switching, billing settlement and guaranteed real time telemetry. Future device or Airtel data integrations must retain their original provenance. All thresholds and delivery targets below are proposed defaults, not existing Airtel commitments.</w:t>
      </w:r>
    </w:p>
    <w:p>
      <w:r>
        <w:br w:type="page"/>
      </w:r>
    </w:p>
    <w:p>
      <w:pPr>
        <w:pStyle w:val="Heading1"/>
      </w:pPr>
      <w:r>
        <w:t>4 Users and permissions</w:t>
      </w:r>
    </w:p>
    <w:tbl>
      <w:tblPr>
        <w:tblW w:type="auto" w:w="0"/>
        <w:tblLayout w:type="fixed"/>
        <w:tblLook w:firstColumn="1" w:firstRow="1" w:lastColumn="0" w:lastRow="0" w:noHBand="0" w:noVBand="1" w:val="04A0"/>
      </w:tblPr>
      <w:tblGrid>
        <w:gridCol w:w="2376"/>
        <w:gridCol w:w="7704"/>
      </w:tblGrid>
      <w:tr>
        <w:trPr>
          <w:cantSplit/>
          <w:tblHeader/>
        </w:trPr>
        <w:tc>
          <w:tcPr>
            <w:tcW w:type="dxa" w:w="237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sz w:val="18"/>
              </w:rPr>
              <w:t>Role</w:t>
            </w:r>
          </w:p>
        </w:tc>
        <w:tc>
          <w:tcPr>
            <w:tcW w:type="dxa" w:w="7704"/>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sz w:val="18"/>
              </w:rPr>
              <w:t>Access and responsibility</w:t>
            </w:r>
          </w:p>
        </w:tc>
      </w:tr>
      <w:tr>
        <w:trPr>
          <w:cantSplit/>
        </w:trPr>
        <w:tc>
          <w:tcPr>
            <w:tcW w:type="dxa" w:w="237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Coloplus administrator</w:t>
            </w:r>
          </w:p>
        </w:tc>
        <w:tc>
          <w:tcPr>
            <w:tcW w:type="dxa" w:w="7704"/>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Manage users, site assignments and configuration. Cannot silently erase history or approve their own submissions.</w:t>
            </w:r>
          </w:p>
        </w:tc>
      </w:tr>
      <w:tr>
        <w:trPr>
          <w:cantSplit/>
        </w:trPr>
        <w:tc>
          <w:tcPr>
            <w:tcW w:type="dxa" w:w="237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Field officer or site reporter</w:t>
            </w:r>
          </w:p>
        </w:tc>
        <w:tc>
          <w:tcPr>
            <w:tcW w:type="dxa" w:w="7704"/>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Create assigned site entries, attach evidence and submit incidents. Edit drafts or return corrections through the approval workflow.</w:t>
            </w:r>
          </w:p>
        </w:tc>
      </w:tr>
      <w:tr>
        <w:trPr>
          <w:cantSplit/>
        </w:trPr>
        <w:tc>
          <w:tcPr>
            <w:tcW w:type="dxa" w:w="237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Operations supervisor</w:t>
            </w:r>
          </w:p>
        </w:tc>
        <w:tc>
          <w:tcPr>
            <w:tcW w:type="dxa" w:w="7704"/>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Validate entries, approve customer publication, assign incidents and return records for correction.</w:t>
            </w:r>
          </w:p>
        </w:tc>
      </w:tr>
      <w:tr>
        <w:trPr>
          <w:cantSplit/>
        </w:trPr>
        <w:tc>
          <w:tcPr>
            <w:tcW w:type="dxa" w:w="237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Model administrator</w:t>
            </w:r>
          </w:p>
        </w:tc>
        <w:tc>
          <w:tcPr>
            <w:tcW w:type="dxa" w:w="7704"/>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Draft formulas and parameter changes. Requires separate approval before production activation.</w:t>
            </w:r>
          </w:p>
        </w:tc>
      </w:tr>
      <w:tr>
        <w:trPr>
          <w:cantSplit/>
        </w:trPr>
        <w:tc>
          <w:tcPr>
            <w:tcW w:type="dxa" w:w="237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Airtel viewer</w:t>
            </w:r>
          </w:p>
        </w:tc>
        <w:tc>
          <w:tcPr>
            <w:tcW w:type="dxa" w:w="7704"/>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Read published records for assigned Airtel sites, inspect calculations and evidence, filter and export reports.</w:t>
            </w:r>
          </w:p>
        </w:tc>
      </w:tr>
      <w:tr>
        <w:trPr>
          <w:cantSplit/>
        </w:trPr>
        <w:tc>
          <w:tcPr>
            <w:tcW w:type="dxa" w:w="237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Airtel reviewer</w:t>
            </w:r>
          </w:p>
        </w:tc>
        <w:tc>
          <w:tcPr>
            <w:tcW w:type="dxa" w:w="7704"/>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Viewer rights plus raise disputes, add review comments and acknowledge agreed reconciliations.</w:t>
            </w:r>
          </w:p>
        </w:tc>
      </w:tr>
      <w:tr>
        <w:trPr>
          <w:cantSplit/>
        </w:trPr>
        <w:tc>
          <w:tcPr>
            <w:tcW w:type="dxa" w:w="237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Coloplus management or auditor</w:t>
            </w:r>
          </w:p>
        </w:tc>
        <w:tc>
          <w:tcPr>
            <w:tcW w:type="dxa" w:w="7704"/>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Read portfolio reports and audit history within assigned scope. Audit access is separate from editing rights.</w:t>
            </w:r>
          </w:p>
        </w:tc>
      </w:tr>
    </w:tbl>
    <w:p/>
    <w:p>
      <w:pPr>
        <w:pStyle w:val="Heading2"/>
      </w:pPr>
      <w:r>
        <w:t>Access rules</w:t>
      </w:r>
    </w:p>
    <w:p>
      <w:pPr>
        <w:pStyle w:val="ListBullet"/>
      </w:pPr>
      <w:r>
        <w:t>Enforce organisation and site scope on every page, API, attachment and export. A shared URL must not bypass permissions.</w:t>
      </w:r>
    </w:p>
    <w:p>
      <w:pPr>
        <w:pStyle w:val="ListBullet"/>
      </w:pPr>
      <w:r>
        <w:t>Keep internal draft commentary, staff details, supplier costs and commercial assumptions outside Airtel access unless explicitly published. Airtel must still see the inputs and assumptions needed to explain any published calculation.</w:t>
      </w:r>
    </w:p>
    <w:p>
      <w:pPr>
        <w:pStyle w:val="ListBullet"/>
      </w:pPr>
      <w:r>
        <w:t>Require separate creator and approver accounts for publication, formula activation and approved period corrections. Airtel acknowledgement does not change the original operational record.</w:t>
      </w:r>
    </w:p>
    <w:p>
      <w:pPr>
        <w:pStyle w:val="Heading2"/>
      </w:pPr>
      <w:r>
        <w:t>Primary user journeys</w:t>
      </w:r>
    </w:p>
    <w:p>
      <w:r>
        <w:t>A field officer opens an assigned site, selects the observation period, enters source changes and incidents, adds evidence, reviews validation and submits. A supervisor checks exceptions and approves the customer record. Airtel opens the portfolio dashboard, finds a site, reviews the source timeline and supporting inputs, then exports or disputes a period. Coloplus resolves the dispute with evidence and publishes a tracked revision if needed.</w:t>
      </w:r>
    </w:p>
    <w:p>
      <w:pPr>
        <w:pStyle w:val="Heading2"/>
      </w:pPr>
      <w:r>
        <w:t>Ownership</w:t>
      </w:r>
    </w:p>
    <w:p>
      <w:r>
        <w:t>Coloplus Operations owns reporting completeness and incident updates. A designated Coloplus product owner owns scope and priorities. Airtel nominates an operational reviewer for definitions, visibility and pilot acceptance. Engineering owns implementation, access controls, calculation reproducibility and service reliability.</w:t>
      </w:r>
    </w:p>
    <w:p>
      <w:r>
        <w:br w:type="page"/>
      </w:r>
    </w:p>
    <w:p>
      <w:pPr>
        <w:pStyle w:val="Heading1"/>
      </w:pPr>
      <w:r>
        <w:t>5 Interface and navigation</w:t>
      </w:r>
    </w:p>
    <w:tbl>
      <w:tblPr>
        <w:tblW w:type="auto" w:w="0"/>
        <w:tblLayout w:type="fixed"/>
        <w:tblLook w:firstColumn="1" w:firstRow="1" w:lastColumn="0" w:lastRow="0" w:noHBand="0" w:noVBand="1" w:val="04A0"/>
      </w:tblPr>
      <w:tblGrid>
        <w:gridCol w:w="2304"/>
        <w:gridCol w:w="7776"/>
      </w:tblGrid>
      <w:tr>
        <w:trPr>
          <w:cantSplit/>
          <w:tblHeader/>
        </w:trPr>
        <w:tc>
          <w:tcPr>
            <w:tcW w:type="dxa" w:w="2304"/>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sz w:val="18"/>
              </w:rPr>
              <w:t>Screen</w:t>
            </w:r>
          </w:p>
        </w:tc>
        <w:tc>
          <w:tcPr>
            <w:tcW w:type="dxa" w:w="777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sz w:val="18"/>
              </w:rPr>
              <w:t>Required content and actions</w:t>
            </w:r>
          </w:p>
        </w:tc>
      </w:tr>
      <w:tr>
        <w:trPr>
          <w:cantSplit/>
        </w:trPr>
        <w:tc>
          <w:tcPr>
            <w:tcW w:type="dxa" w:w="2304"/>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Portfolio overview</w:t>
            </w:r>
          </w:p>
        </w:tc>
        <w:tc>
          <w:tcPr>
            <w:tcW w:type="dxa" w:w="777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Active, pending acceptance and suspended site counts; reported outage and unknown counts; stale submissions; availability with coverage; open incidents and overdue actions.</w:t>
            </w:r>
          </w:p>
        </w:tc>
      </w:tr>
      <w:tr>
        <w:trPr>
          <w:cantSplit/>
        </w:trPr>
        <w:tc>
          <w:tcPr>
            <w:tcW w:type="dxa" w:w="2304"/>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Site directory</w:t>
            </w:r>
          </w:p>
        </w:tc>
        <w:tc>
          <w:tcPr>
            <w:tcW w:type="dxa" w:w="777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Search by Airtel or Coloplus code. Filter by state, region, site type, source, service state, data quality, acceptance state and assigned owner.</w:t>
            </w:r>
          </w:p>
        </w:tc>
      </w:tr>
      <w:tr>
        <w:trPr>
          <w:cantSplit/>
        </w:trPr>
        <w:tc>
          <w:tcPr>
            <w:tcW w:type="dxa" w:w="2304"/>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Site detail</w:t>
            </w:r>
          </w:p>
        </w:tc>
        <w:tc>
          <w:tcPr>
            <w:tcW w:type="dxa" w:w="777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Site profile, last observation, data source labels, publication state, power source timeline, interval gaps, daily history, incidents, evidence and calculation details.</w:t>
            </w:r>
          </w:p>
        </w:tc>
      </w:tr>
      <w:tr>
        <w:trPr>
          <w:cantSplit/>
        </w:trPr>
        <w:tc>
          <w:tcPr>
            <w:tcW w:type="dxa" w:w="2304"/>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Daily reporting</w:t>
            </w:r>
          </w:p>
        </w:tc>
        <w:tc>
          <w:tcPr>
            <w:tcW w:type="dxa" w:w="777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Mobile friendly source and incident entry, daily summary, attachment upload, validation feedback, draft save and submission.</w:t>
            </w:r>
          </w:p>
        </w:tc>
      </w:tr>
      <w:tr>
        <w:trPr>
          <w:cantSplit/>
        </w:trPr>
        <w:tc>
          <w:tcPr>
            <w:tcW w:type="dxa" w:w="2304"/>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Incidents and actions</w:t>
            </w:r>
          </w:p>
        </w:tc>
        <w:tc>
          <w:tcPr>
            <w:tcW w:type="dxa" w:w="777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Severity, site impact, owner, acknowledgement, restoration target, status history, root cause and customer updates.</w:t>
            </w:r>
          </w:p>
        </w:tc>
      </w:tr>
      <w:tr>
        <w:trPr>
          <w:cantSplit/>
        </w:trPr>
        <w:tc>
          <w:tcPr>
            <w:tcW w:type="dxa" w:w="2304"/>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Commissioning and acceptance</w:t>
            </w:r>
          </w:p>
        </w:tc>
        <w:tc>
          <w:tcPr>
            <w:tcW w:type="dxa" w:w="777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Requested, built, ready for inspection, inspected, accepted, rejected or on hold; documents, reasons, responsible party and next action.</w:t>
            </w:r>
          </w:p>
        </w:tc>
      </w:tr>
      <w:tr>
        <w:trPr>
          <w:cantSplit/>
        </w:trPr>
        <w:tc>
          <w:tcPr>
            <w:tcW w:type="dxa" w:w="2304"/>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Reports and reconciliation</w:t>
            </w:r>
          </w:p>
        </w:tc>
        <w:tc>
          <w:tcPr>
            <w:tcW w:type="dxa" w:w="777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Daily, weekly and monthly reports; period and site filters; draft or approved state; exports, disputes and version history.</w:t>
            </w:r>
          </w:p>
        </w:tc>
      </w:tr>
      <w:tr>
        <w:trPr>
          <w:cantSplit/>
        </w:trPr>
        <w:tc>
          <w:tcPr>
            <w:tcW w:type="dxa" w:w="2304"/>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Administration</w:t>
            </w:r>
          </w:p>
        </w:tc>
        <w:tc>
          <w:tcPr>
            <w:tcW w:type="dxa" w:w="777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Users, assignments, reporting policy, source types, thresholds, formula versions, parameter sets and audit searches.</w:t>
            </w:r>
          </w:p>
        </w:tc>
      </w:tr>
    </w:tbl>
    <w:p/>
    <w:p>
      <w:pPr>
        <w:pStyle w:val="Heading2"/>
      </w:pPr>
      <w:r>
        <w:t>Dashboard behaviour</w:t>
      </w:r>
    </w:p>
    <w:p>
      <w:r>
        <w:t>The header shows the selected period, Africa/Lagos time zone, publication cutoff and last refresh. Every metric exposes its definition and denominator. Clicking a card opens its supporting sites and intervals. Portfolio availability uses total eligible site minutes, rather than an unweighted average of percentages.</w:t>
      </w:r>
    </w:p>
    <w:p>
      <w:r>
        <w:t>Show site condition and update time prominently, with a compact data quality indicator when stale, incomplete, disputed or conflicting. Use normal operational labels: Available as of [time], Outage reported or Awaiting update. Keep entry methods and formula settings out of the main dashboard; expose the data basis in record details. An overdue entry must never leave a green current status. Use text and icons alongside colour; retain filters between screens.</w:t>
      </w:r>
    </w:p>
    <w:p>
      <w:r>
        <w:t>Trend lines use distinct styles for reported and estimated values. Gaps remain visible. Charts and downloads must not convert absent records into zero consumption or continuous service.</w:t>
      </w:r>
    </w:p>
    <w:p>
      <w:r>
        <w:br w:type="page"/>
      </w:r>
    </w:p>
    <w:p>
      <w:pPr>
        <w:pStyle w:val="Heading1"/>
      </w:pPr>
      <w:r>
        <w:t>6 Site records and manual capture</w:t>
      </w:r>
    </w:p>
    <w:p>
      <w:pPr>
        <w:pStyle w:val="Heading2"/>
      </w:pPr>
      <w:r>
        <w:t>Site master record</w:t>
      </w:r>
    </w:p>
    <w:p>
      <w:r>
        <w:t>Store immutable internal site ID; Airtel site code; Coloplus code; name; address; region and state; optional coordinates; site and building type; responsible team; installed power sources; asset capacities; contractual service window; commissioning date; acceptance status and date; reporting cadence; freshness threshold; load profile; formula profile; and effective dates. Reject duplicate Airtel site codes within the customer portfolio.</w:t>
      </w:r>
    </w:p>
    <w:p>
      <w:pPr>
        <w:pStyle w:val="Heading2"/>
      </w:pPr>
      <w:r>
        <w:t>Operational entry fields</w:t>
      </w:r>
    </w:p>
    <w:tbl>
      <w:tblPr>
        <w:tblW w:type="auto" w:w="0"/>
        <w:tblLayout w:type="fixed"/>
        <w:tblLook w:firstColumn="1" w:firstRow="1" w:lastColumn="0" w:lastRow="0" w:noHBand="0" w:noVBand="1" w:val="04A0"/>
      </w:tblPr>
      <w:tblGrid>
        <w:gridCol w:w="2160"/>
        <w:gridCol w:w="7920"/>
      </w:tblGrid>
      <w:tr>
        <w:trPr>
          <w:cantSplit/>
          <w:tblHeader/>
        </w:trPr>
        <w:tc>
          <w:tcPr>
            <w:tcW w:type="dxa" w:w="2160"/>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sz w:val="18"/>
              </w:rPr>
              <w:t>Record</w:t>
            </w:r>
          </w:p>
        </w:tc>
        <w:tc>
          <w:tcPr>
            <w:tcW w:type="dxa" w:w="7920"/>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sz w:val="18"/>
              </w:rPr>
              <w:t>Required or conditional data</w:t>
            </w:r>
          </w:p>
        </w:tc>
      </w:tr>
      <w:tr>
        <w:trPr>
          <w:cantSplit/>
        </w:trPr>
        <w:tc>
          <w:tcPr>
            <w:tcW w:type="dxa" w:w="2160"/>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All entries</w:t>
            </w:r>
          </w:p>
        </w:tc>
        <w:tc>
          <w:tcPr>
            <w:tcW w:type="dxa" w:w="7920"/>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Site, author, observation start and end, event or observation time, submission time, entry source, reporting basis, notes and evidence references. Store server receipt and approval times separately.</w:t>
            </w:r>
          </w:p>
        </w:tc>
      </w:tr>
      <w:tr>
        <w:trPr>
          <w:cantSplit/>
        </w:trPr>
        <w:tc>
          <w:tcPr>
            <w:tcW w:type="dxa" w:w="2160"/>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Power source interval</w:t>
            </w:r>
          </w:p>
        </w:tc>
        <w:tc>
          <w:tcPr>
            <w:tcW w:type="dxa" w:w="7920"/>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Start and end, source, serving state, actual observation or declared schedule, reporter and evidence. Distinguish source availability from actual supply to the defined site load.</w:t>
            </w:r>
          </w:p>
        </w:tc>
      </w:tr>
      <w:tr>
        <w:trPr>
          <w:cantSplit/>
        </w:trPr>
        <w:tc>
          <w:tcPr>
            <w:tcW w:type="dxa" w:w="2160"/>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Daily summary</w:t>
            </w:r>
          </w:p>
        </w:tc>
        <w:tc>
          <w:tcPr>
            <w:tcW w:type="dxa" w:w="7920"/>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Reporting date, covered period, reported downtime and unknown intervals, reporting completeness, source hours where supported, maintenance and open issues.</w:t>
            </w:r>
          </w:p>
        </w:tc>
      </w:tr>
      <w:tr>
        <w:trPr>
          <w:cantSplit/>
        </w:trPr>
        <w:tc>
          <w:tcPr>
            <w:tcW w:type="dxa" w:w="2160"/>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Load and energy inputs</w:t>
            </w:r>
          </w:p>
        </w:tc>
        <w:tc>
          <w:tcPr>
            <w:tcW w:type="dxa" w:w="7920"/>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Load value in kW and effective period, basis and evidence. Optional spot voltage/current readings require appropriate electrical parameters before deriving power.</w:t>
            </w:r>
          </w:p>
        </w:tc>
      </w:tr>
      <w:tr>
        <w:trPr>
          <w:cantSplit/>
        </w:trPr>
        <w:tc>
          <w:tcPr>
            <w:tcW w:type="dxa" w:w="2160"/>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Generator and fuel</w:t>
            </w:r>
          </w:p>
        </w:tc>
        <w:tc>
          <w:tcPr>
            <w:tcW w:type="dxa" w:w="7920"/>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Generator ID, reported runtime or interval events, opening and closing fuel in litres where available, deliveries and other transfers with timestamps, and applicable consumption profile.</w:t>
            </w:r>
          </w:p>
        </w:tc>
      </w:tr>
      <w:tr>
        <w:trPr>
          <w:cantSplit/>
        </w:trPr>
        <w:tc>
          <w:tcPr>
            <w:tcW w:type="dxa" w:w="2160"/>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Incident</w:t>
            </w:r>
          </w:p>
        </w:tc>
        <w:tc>
          <w:tcPr>
            <w:tcW w:type="dxa" w:w="7920"/>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Category, severity, impact, start time, detection/report time, owner, updates, restoration time if known, evidence and root cause on closure.</w:t>
            </w:r>
          </w:p>
        </w:tc>
      </w:tr>
      <w:tr>
        <w:trPr>
          <w:cantSplit/>
        </w:trPr>
        <w:tc>
          <w:tcPr>
            <w:tcW w:type="dxa" w:w="2160"/>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Evidence</w:t>
            </w:r>
          </w:p>
        </w:tc>
        <w:tc>
          <w:tcPr>
            <w:tcW w:type="dxa" w:w="7920"/>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Attachment ID, type, uploader, upload time, declared capture time, site and period links. Preserve original file and checksum; optional location only with permission.</w:t>
            </w:r>
          </w:p>
        </w:tc>
      </w:tr>
    </w:tbl>
    <w:p/>
    <w:p>
      <w:pPr>
        <w:pStyle w:val="Heading2"/>
      </w:pPr>
      <w:r>
        <w:t>Entry controls</w:t>
      </w:r>
    </w:p>
    <w:p>
      <w:r>
        <w:t>Manual forms and CSV/XLSX imports use the same schema, units and validation. Imports provide a preview, row errors, duplicate detection and an explicit commit step. Require a batch ID and idempotency key to prevent repeat uploads. Save mobile drafts and retry safely after connection loss; only server acknowledgement confirms receipt.</w:t>
      </w:r>
    </w:p>
    <w:p>
      <w:r>
        <w:t>Separate an observation from a plan. A building supply schedule can support a labelled forecast; it cannot establish historical uptime. Daily totals without event timing must not be converted into a fabricated minute by minute timeline.</w:t>
      </w:r>
    </w:p>
    <w:p>
      <w:r>
        <w:br w:type="page"/>
      </w:r>
    </w:p>
    <w:p>
      <w:pPr>
        <w:pStyle w:val="Heading1"/>
      </w:pPr>
      <w:r>
        <w:t>7 Calculation engine and data provenance</w:t>
      </w:r>
    </w:p>
    <w:p>
      <w:pPr>
        <w:pStyle w:val="Heading2"/>
      </w:pPr>
      <w:r>
        <w:t>Measurement basis and review state</w:t>
      </w:r>
    </w:p>
    <w:p>
      <w:r>
        <w:t>Every value stores a basis: manual observation, calculation from reported inputs, estimate from assumed inputs, or unavailable. Airtel sees a consistent monitoring interface, with source details available on inspection rather than repeated manual labels on every card. Estimated metrics carry an estimate indicator. Review state is separate: draft, submitted, approved, superseded or disputed. Approval does not turn an estimate into a measurement.</w:t>
      </w:r>
    </w:p>
    <w:p>
      <w:r>
        <w:t>A derived metric must retain input record IDs and revisions, coverage period, units, formula ID and version, parameter set and effective dates, execution time, output precision, warnings and approver where relevant. Clicking “How calculated” reveals these details and a plain language explanation.</w:t>
      </w:r>
    </w:p>
    <w:p>
      <w:pPr>
        <w:pStyle w:val="Heading2"/>
      </w:pPr>
      <w:r>
        <w:t>Controlled formulas</w:t>
      </w:r>
    </w:p>
    <w:p>
      <w:r>
        <w:t>Use an allowlisted formula builder or sandboxed expressions with typed units and validated functions. Never execute unrestricted uploaded code. A shared core formula may use site specific profiles for load, service windows, generator curves and other parameters. Unset parameters return unavailable rather than an invisible default.</w:t>
      </w:r>
    </w:p>
    <w:p>
      <w:r>
        <w:t>Formula lifecycle: draft → sample test → independent approval → effective dated activation → retirement. Keep old versions executable for reproduction. New versions apply prospectively by default. Historical recalculation requires an impact preview, a reason and approval; publish a new report revision while retaining the prior one.</w:t>
      </w:r>
    </w:p>
    <w:p>
      <w:pPr>
        <w:pStyle w:val="Heading2"/>
      </w:pPr>
      <w:r>
        <w:t>Confidence and precedence</w:t>
      </w:r>
    </w:p>
    <w:p>
      <w:pPr>
        <w:pStyle w:val="ListBullet"/>
      </w:pPr>
      <w:r>
        <w:t>Expose evidence completeness, age of inputs, coverage and model validation status. Do not invent a statistical confidence percentage from uncalibrated judgement.</w:t>
      </w:r>
    </w:p>
    <w:p>
      <w:pPr>
        <w:pStyle w:val="ListBullet"/>
      </w:pPr>
      <w:r>
        <w:t>Publish estimates as modelled values with their load and consumption assumptions. Use ranges only where the bounds have a documented basis.</w:t>
      </w:r>
    </w:p>
    <w:p>
      <w:pPr>
        <w:pStyle w:val="ListBullet"/>
      </w:pPr>
      <w:r>
        <w:t>Retain conflicting sources and route them for review. Approved period facts take precedence over estimates; estimates never overwrite original submissions.</w:t>
      </w:r>
    </w:p>
    <w:p>
      <w:pPr>
        <w:pStyle w:val="ListBullet"/>
      </w:pPr>
      <w:r>
        <w:t>A computed number inherits the limitations of its inputs. Calculating kWh from an assumed kW load remains an energy estimate even if runtime was reported accurately.</w:t>
      </w:r>
    </w:p>
    <w:p>
      <w:pPr>
        <w:pStyle w:val="Heading2"/>
      </w:pPr>
      <w:r>
        <w:t>Illustrative calculations</w:t>
      </w:r>
    </w:p>
    <w:p>
      <w:r>
        <w:t>A 2.0 kW assumed load over 10 reported served hours produces 20.0 kWh estimated energy. A generator operating for 6 reported hours at an assumed 2.5 litres per hour produces 15.0 litres modelled consumption. Neither output should be labelled metered. These numbers are examples only and are not Coloplus site parameters.</w:t>
      </w:r>
    </w:p>
    <w:p>
      <w:r>
        <w:br w:type="page"/>
      </w:r>
    </w:p>
    <w:p>
      <w:pPr>
        <w:pStyle w:val="Heading1"/>
      </w:pPr>
      <w:r>
        <w:t>8 Metric definitions and formula rules</w:t>
      </w:r>
    </w:p>
    <w:tbl>
      <w:tblPr>
        <w:tblW w:type="auto" w:w="0"/>
        <w:tblLayout w:type="fixed"/>
        <w:tblLook w:firstColumn="1" w:firstRow="1" w:lastColumn="0" w:lastRow="0" w:noHBand="0" w:noVBand="1" w:val="04A0"/>
      </w:tblPr>
      <w:tblGrid>
        <w:gridCol w:w="2232"/>
        <w:gridCol w:w="7848"/>
      </w:tblGrid>
      <w:tr>
        <w:trPr>
          <w:cantSplit/>
          <w:tblHeader/>
        </w:trPr>
        <w:tc>
          <w:tcPr>
            <w:tcW w:type="dxa" w:w="2232"/>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sz w:val="18"/>
              </w:rPr>
              <w:t>Metric</w:t>
            </w:r>
          </w:p>
        </w:tc>
        <w:tc>
          <w:tcPr>
            <w:tcW w:type="dxa" w:w="784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sz w:val="18"/>
              </w:rPr>
              <w:t>Definition and treatment</w:t>
            </w:r>
          </w:p>
        </w:tc>
      </w:tr>
      <w:tr>
        <w:trPr>
          <w:cantSplit/>
        </w:trPr>
        <w:tc>
          <w:tcPr>
            <w:tcW w:type="dxa" w:w="2232"/>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Eligible service minutes S</w:t>
            </w:r>
          </w:p>
        </w:tc>
        <w:tc>
          <w:tcPr>
            <w:tcW w:type="dxa" w:w="784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Minutes within the agreed site service window and eligible lifecycle dates. An acceptance rule controls when a site enters service KPIs; pending sites remain visible separately.</w:t>
            </w:r>
          </w:p>
        </w:tc>
      </w:tr>
      <w:tr>
        <w:trPr>
          <w:cantSplit/>
        </w:trPr>
        <w:tc>
          <w:tcPr>
            <w:tcW w:type="dxa" w:w="2232"/>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Known served U and outage D</w:t>
            </w:r>
          </w:p>
        </w:tc>
        <w:tc>
          <w:tcPr>
            <w:tcW w:type="dxa" w:w="784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Union of approved served intervals and union of approved outage intervals, clipped to S. Resolve conflicts before publication. Unknown X = S − U − D.</w:t>
            </w:r>
          </w:p>
        </w:tc>
      </w:tr>
      <w:tr>
        <w:trPr>
          <w:cantSplit/>
        </w:trPr>
        <w:tc>
          <w:tcPr>
            <w:tcW w:type="dxa" w:w="2232"/>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Coverage</w:t>
            </w:r>
          </w:p>
        </w:tc>
        <w:tc>
          <w:tcPr>
            <w:tcW w:type="dxa" w:w="784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100 × (U + D) ÷ S. Show unknown minutes explicitly. Where S = 0, return not applicable.</w:t>
            </w:r>
          </w:p>
        </w:tc>
      </w:tr>
      <w:tr>
        <w:trPr>
          <w:cantSplit/>
        </w:trPr>
        <w:tc>
          <w:tcPr>
            <w:tcW w:type="dxa" w:w="2232"/>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Reported availability</w:t>
            </w:r>
          </w:p>
        </w:tc>
        <w:tc>
          <w:tcPr>
            <w:tcW w:type="dxa" w:w="784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100 × U ÷ (U + D), shown with coverage and marked provisional when incomplete. If no known minutes exist, return unavailable. Do not use this alone as contractual SLA compliance.</w:t>
            </w:r>
          </w:p>
        </w:tc>
      </w:tr>
      <w:tr>
        <w:trPr>
          <w:cantSplit/>
        </w:trPr>
        <w:tc>
          <w:tcPr>
            <w:tcW w:type="dxa" w:w="2232"/>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Availability lower bound</w:t>
            </w:r>
          </w:p>
        </w:tc>
        <w:tc>
          <w:tcPr>
            <w:tcW w:type="dxa" w:w="784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100 × U ÷ S. Display as confirmed served share of eligible minutes, with unknown share beside it. Unknown time is neither confirmed uptime nor confirmed downtime.</w:t>
            </w:r>
          </w:p>
        </w:tc>
      </w:tr>
      <w:tr>
        <w:trPr>
          <w:cantSplit/>
        </w:trPr>
        <w:tc>
          <w:tcPr>
            <w:tcW w:type="dxa" w:w="2232"/>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Source runtime</w:t>
            </w:r>
          </w:p>
        </w:tc>
        <w:tc>
          <w:tcPr>
            <w:tcW w:type="dxa" w:w="784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Union of actual serving intervals per source. Mutually exclusive source allocations must total no more than S. If parallel sources exist, source operating hours may overlap; availability still uses the union of served intervals.</w:t>
            </w:r>
          </w:p>
        </w:tc>
      </w:tr>
      <w:tr>
        <w:trPr>
          <w:cantSplit/>
        </w:trPr>
        <w:tc>
          <w:tcPr>
            <w:tcW w:type="dxa" w:w="2232"/>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Estimated energy</w:t>
            </w:r>
          </w:p>
        </w:tc>
        <w:tc>
          <w:tcPr>
            <w:tcW w:type="dxa" w:w="784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Sum of assumed average load kW × served hours for each applicable interval. No energy is extrapolated across unknown time. Clearly identify the load boundary and avoid double counting source contributions.</w:t>
            </w:r>
          </w:p>
        </w:tc>
      </w:tr>
      <w:tr>
        <w:trPr>
          <w:cantSplit/>
        </w:trPr>
        <w:tc>
          <w:tcPr>
            <w:tcW w:type="dxa" w:w="2232"/>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Modelled fuel use</w:t>
            </w:r>
          </w:p>
        </w:tc>
        <w:tc>
          <w:tcPr>
            <w:tcW w:type="dxa" w:w="784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Sum of generator runtime hours × approved litres/hour for applicable load bands. Rates require site or equipment validation; no universal rate is assumed.</w:t>
            </w:r>
          </w:p>
        </w:tc>
      </w:tr>
      <w:tr>
        <w:trPr>
          <w:cantSplit/>
        </w:trPr>
        <w:tc>
          <w:tcPr>
            <w:tcW w:type="dxa" w:w="2232"/>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Fuel balance and variance</w:t>
            </w:r>
          </w:p>
        </w:tc>
        <w:tc>
          <w:tcPr>
            <w:tcW w:type="dxa" w:w="784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Balance consumption = opening litres + deliveries + transfers in − transfers out − closing litres. Variance = balance consumption − modelled use, aligned to the same period. Flag discrepancies for investigation; do not infer theft.</w:t>
            </w:r>
          </w:p>
        </w:tc>
      </w:tr>
      <w:tr>
        <w:trPr>
          <w:cantSplit/>
        </w:trPr>
        <w:tc>
          <w:tcPr>
            <w:tcW w:type="dxa" w:w="2232"/>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Estimated battery autonomy</w:t>
            </w:r>
          </w:p>
        </w:tc>
        <w:tc>
          <w:tcPr>
            <w:tcW w:type="dxa" w:w="784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Usable capacity kWh × applicable discharge efficiency ÷ load kW. Usable capacity includes valid state of charge and permitted discharge limits. Missing or stale capacity, charge or load makes a current autonomy estimate unavailable.</w:t>
            </w:r>
          </w:p>
        </w:tc>
      </w:tr>
    </w:tbl>
    <w:p/>
    <w:p>
      <w:r>
        <w:t>For 24 eligible hours with 23 known served hours, 0.5 known outage hours and 0.5 unknown hours: coverage is 97.92%, reported availability is 97.87%, and confirmed served share is 95.83%. Unknown time must remain visible. An SLA result requires the separate, agreed contractual treatment of exclusions and unknown periods.</w:t>
      </w:r>
    </w:p>
    <w:p>
      <w:r>
        <w:br w:type="page"/>
      </w:r>
    </w:p>
    <w:p>
      <w:pPr>
        <w:pStyle w:val="Heading1"/>
      </w:pPr>
      <w:r>
        <w:t>9 Validation publication and reconciliation</w:t>
      </w:r>
    </w:p>
    <w:p>
      <w:pPr>
        <w:pStyle w:val="Heading2"/>
      </w:pPr>
      <w:r>
        <w:t>Validation before submission</w:t>
      </w:r>
    </w:p>
    <w:p>
      <w:pPr>
        <w:pStyle w:val="ListBullet"/>
      </w:pPr>
      <w:r>
        <w:t>Require site, applicable period, units and reporting basis. Reject negative durations, impossible dates and future observations. Store scheduled events separately.</w:t>
      </w:r>
    </w:p>
    <w:p>
      <w:pPr>
        <w:pStyle w:val="ListBullet"/>
      </w:pPr>
      <w:r>
        <w:t>Split cross midnight events into reporting periods without changing the original incident. Apply the site service window and Africa/Lagos day boundaries; store timestamps in UTC.</w:t>
      </w:r>
    </w:p>
    <w:p>
      <w:pPr>
        <w:pStyle w:val="ListBullet"/>
      </w:pPr>
      <w:r>
        <w:t>Block contradictory served and outage intervals for the same service boundary. Merge duplicate intervals for duration calculations. Flag source overlaps unless parallel operation is explicitly configured.</w:t>
      </w:r>
    </w:p>
    <w:p>
      <w:pPr>
        <w:pStyle w:val="ListBullet"/>
      </w:pPr>
      <w:r>
        <w:t>Check fuel values against tank capacity and units, and runtime against the period. Asset specific bounds must be configurable. Large deviations from a site baseline create a review warning rather than an automatic correction.</w:t>
      </w:r>
    </w:p>
    <w:p>
      <w:pPr>
        <w:pStyle w:val="ListBullet"/>
      </w:pPr>
      <w:r>
        <w:t>Missing source intervals, missing daily records, unresolved conflicts and stale assumptions generate explicit gaps. Require an explanation for overrides and late submissions.</w:t>
      </w:r>
    </w:p>
    <w:p>
      <w:pPr>
        <w:pStyle w:val="Heading2"/>
      </w:pPr>
      <w:r>
        <w:t>Publication workflow</w:t>
      </w:r>
    </w:p>
    <w:p>
      <w:r>
        <w:t>Draft → submitted → validation → supervisor review → approved and published. Rejected entries return to the reporter with a reason. Airtel sees approved records by default; a separately labelled provisional view may expose submitted incidents and unapproved daily entries if jointly enabled. Critical incident notices should not wait for final daily approval.</w:t>
      </w:r>
    </w:p>
    <w:p>
      <w:r>
        <w:t>An approved record is immutable. A correction creates a linked revision with before and after values, reason and approver. Recalculate affected aggregates, identify impacted report versions and notify relevant reviewers. Closed reporting periods require a controlled reopening; never overwrite a previously issued customer report.</w:t>
      </w:r>
    </w:p>
    <w:p>
      <w:pPr>
        <w:pStyle w:val="Heading2"/>
      </w:pPr>
      <w:r>
        <w:t>Airtel review and disputes</w:t>
      </w:r>
    </w:p>
    <w:p>
      <w:r>
        <w:t>Airtel can dispute a site, interval or report metric, attach evidence and assign a category. Track open, under review, awaiting evidence, agreed correction, resolved and closed states. Preserve both parties’ comments and distinguish Coloplus approval from Airtel agreement. Disputed values stay visible with their dispute state and are separately identifiable in exports.</w:t>
      </w:r>
    </w:p>
    <w:p>
      <w:pPr>
        <w:pStyle w:val="Heading2"/>
      </w:pPr>
      <w:r>
        <w:t>Commissioning and acceptance</w:t>
      </w:r>
    </w:p>
    <w:p>
      <w:r>
        <w:t>Record build completion, inspection requests and outcomes, rejection or hold reasons, evidence, responsible party, due date and escalation. Allow Coloplus to submit a dossier and Airtel to record its review. No status or schedule automatically counts as Airtel acceptance. Report age since ready for inspection separately from operational performance. A site specific issue must be recorded against the relevant site rather than hidden within a portfolio comment.</w:t>
      </w:r>
    </w:p>
    <w:p>
      <w:r>
        <w:br w:type="page"/>
      </w:r>
    </w:p>
    <w:p>
      <w:pPr>
        <w:pStyle w:val="Heading1"/>
      </w:pPr>
      <w:r>
        <w:t>10 Incidents alerts and reporting</w:t>
      </w:r>
    </w:p>
    <w:p>
      <w:pPr>
        <w:pStyle w:val="Heading2"/>
      </w:pPr>
      <w:r>
        <w:t>Incident handling</w:t>
      </w:r>
    </w:p>
    <w:p>
      <w:r>
        <w:t>Capture every reported fault, including grid or building supply loss, generator failure, low fuel, battery failure, rectifier or electrical faults, access restrictions and other service issues. Record faults with no outage separately from service interruptions. Link affected intervals without duplicating downtime. Track reported, acknowledged, assigned, in progress, restored, verified and closed stages. Every fault needs impact, owner, next action and update history. Restoration verification requires a new observation or evidence; a prediction cannot close a confirmed outage.</w:t>
      </w:r>
    </w:p>
    <w:p>
      <w:r>
        <w:t>Severity reflects service impact and the agreed escalation matrix. Each incident has an owner, next action and target update time. Link planned maintenance and approval references, but exclude time from SLA calculations only where the agreed contract permits it.</w:t>
      </w:r>
    </w:p>
    <w:p>
      <w:pPr>
        <w:pStyle w:val="Heading2"/>
      </w:pPr>
      <w:r>
        <w:t>Alerts and limitations</w:t>
      </w:r>
    </w:p>
    <w:tbl>
      <w:tblPr>
        <w:tblW w:type="auto" w:w="0"/>
        <w:tblLayout w:type="fixed"/>
        <w:tblLook w:firstColumn="1" w:firstRow="1" w:lastColumn="0" w:lastRow="0" w:noHBand="0" w:noVBand="1" w:val="04A0"/>
      </w:tblPr>
      <w:tblGrid>
        <w:gridCol w:w="3168"/>
        <w:gridCol w:w="6912"/>
      </w:tblGrid>
      <w:tr>
        <w:trPr>
          <w:cantSplit/>
          <w:tblHeader/>
        </w:trPr>
        <w:tc>
          <w:tcPr>
            <w:tcW w:type="dxa" w:w="316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sz w:val="18"/>
              </w:rPr>
              <w:t>Trigger</w:t>
            </w:r>
          </w:p>
        </w:tc>
        <w:tc>
          <w:tcPr>
            <w:tcW w:type="dxa" w:w="6912"/>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sz w:val="18"/>
              </w:rPr>
              <w:t>Customer facing meaning</w:t>
            </w:r>
          </w:p>
        </w:tc>
      </w:tr>
      <w:tr>
        <w:trPr>
          <w:cantSplit/>
        </w:trPr>
        <w:tc>
          <w:tcPr>
            <w:tcW w:type="dxa" w:w="316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Reporter submits an outage</w:t>
            </w:r>
          </w:p>
        </w:tc>
        <w:tc>
          <w:tcPr>
            <w:tcW w:type="dxa" w:w="6912"/>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Reported outage requiring action; include event time and report time.</w:t>
            </w:r>
          </w:p>
        </w:tc>
      </w:tr>
      <w:tr>
        <w:trPr>
          <w:cantSplit/>
        </w:trPr>
        <w:tc>
          <w:tcPr>
            <w:tcW w:type="dxa" w:w="316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Expected report is overdue</w:t>
            </w:r>
          </w:p>
        </w:tc>
        <w:tc>
          <w:tcPr>
            <w:tcW w:type="dxa" w:w="6912"/>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Data is stale or missing. This does not establish a power outage.</w:t>
            </w:r>
          </w:p>
        </w:tc>
      </w:tr>
      <w:tr>
        <w:trPr>
          <w:cantSplit/>
        </w:trPr>
        <w:tc>
          <w:tcPr>
            <w:tcW w:type="dxa" w:w="316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Fuel balance or runtime anomaly</w:t>
            </w:r>
          </w:p>
        </w:tc>
        <w:tc>
          <w:tcPr>
            <w:tcW w:type="dxa" w:w="6912"/>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Input or model exception requiring review; include the underlying comparison.</w:t>
            </w:r>
          </w:p>
        </w:tc>
      </w:tr>
      <w:tr>
        <w:trPr>
          <w:cantSplit/>
        </w:trPr>
        <w:tc>
          <w:tcPr>
            <w:tcW w:type="dxa" w:w="316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Estimated fuel or autonomy low</w:t>
            </w:r>
          </w:p>
        </w:tc>
        <w:tc>
          <w:tcPr>
            <w:tcW w:type="dxa" w:w="6912"/>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Forecast risk using the displayed assumptions and their age.</w:t>
            </w:r>
          </w:p>
        </w:tc>
      </w:tr>
      <w:tr>
        <w:trPr>
          <w:cantSplit/>
        </w:trPr>
        <w:tc>
          <w:tcPr>
            <w:tcW w:type="dxa" w:w="316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Incident update or action overdue</w:t>
            </w:r>
          </w:p>
        </w:tc>
        <w:tc>
          <w:tcPr>
            <w:tcW w:type="dxa" w:w="6912"/>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Escalate to the assigned owner and configured supervisor.</w:t>
            </w:r>
          </w:p>
        </w:tc>
      </w:tr>
      <w:tr>
        <w:trPr>
          <w:cantSplit/>
        </w:trPr>
        <w:tc>
          <w:tcPr>
            <w:tcW w:type="dxa" w:w="3168"/>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Acceptance action overdue</w:t>
            </w:r>
          </w:p>
        </w:tc>
        <w:tc>
          <w:tcPr>
            <w:tcW w:type="dxa" w:w="6912"/>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Escalate the documented inspection or acceptance action.</w:t>
            </w:r>
          </w:p>
        </w:tc>
      </w:tr>
    </w:tbl>
    <w:p/>
    <w:p>
      <w:r>
        <w:t>MVP provides an in-app alert centre and configured email digests or incident notices. Use approved recipient lists, site scoping, acknowledgement, deduplication and repeat intervals. Notification delivery failure is visible and retried. Manually supplied data cannot detect an unreported physical failure; response time depends on reporting and notification delays.</w:t>
      </w:r>
    </w:p>
    <w:p>
      <w:pPr>
        <w:pStyle w:val="Heading2"/>
      </w:pPr>
      <w:r>
        <w:t>Reports and exports</w:t>
      </w:r>
    </w:p>
    <w:p>
      <w:r>
        <w:t>Provide daily site summaries, weekly exception reports, monthly performance packs, incident registers, maintenance logs and commissioning backlogs. Monthly packs show source hours, outage minutes, coverage, estimated energy, fuel model results where enabled, unresolved disputes and corrective actions. Support CSV/XLSX exports and printable or PDF reports.</w:t>
      </w:r>
    </w:p>
    <w:p>
      <w:r>
        <w:t>Every export includes site identifiers, period, time zone, units, measurement basis, coverage, review state, formula and report versions, generation time and material assumptions. Totals exclude unavailable values while showing the number and scope excluded. Separate provisional, approved and reconciled views; avoid screenshots as the only export route.</w:t>
      </w:r>
    </w:p>
    <w:p>
      <w:r>
        <w:br w:type="page"/>
      </w:r>
    </w:p>
    <w:p>
      <w:pPr>
        <w:pStyle w:val="Heading1"/>
      </w:pPr>
      <w:r>
        <w:t>11 Engineering and operational requirements</w:t>
      </w:r>
    </w:p>
    <w:p>
      <w:pPr>
        <w:pStyle w:val="Heading2"/>
      </w:pPr>
      <w:r>
        <w:t>Suggested system structure</w:t>
      </w:r>
    </w:p>
    <w:p>
      <w:r>
        <w:t>Use a responsive customer portal and field entry experience backed by an authenticated application API, relational operational store, attachment storage, background calculation worker and notification service. Keep raw inputs separate from derived results and published report snapshots. The design should allow future measured inputs without changing how manual and estimated values are identified.</w:t>
      </w:r>
    </w:p>
    <w:p>
      <w:pPr>
        <w:pStyle w:val="Heading2"/>
      </w:pPr>
      <w:r>
        <w:t>Core entities</w:t>
      </w:r>
    </w:p>
    <w:p>
      <w:r>
        <w:t>Organisation, user, role, site assignment, site, asset, service window, acceptance milestone, observation, source interval, daily submission, fuel movement, incident, maintenance event, evidence, parameter set, formula version, calculation run, approval, dispute, report snapshot, alert and audit event. Use stable IDs and revision links. Each calculation run references immutable input revisions.</w:t>
      </w:r>
    </w:p>
    <w:p>
      <w:pPr>
        <w:pStyle w:val="Heading2"/>
      </w:pPr>
      <w:r>
        <w:t>APIs and processing</w:t>
      </w:r>
    </w:p>
    <w:p>
      <w:pPr>
        <w:pStyle w:val="ListBullet"/>
      </w:pPr>
      <w:r>
        <w:t>Support scoped site retrieval, observation submission, import validation and commit, approval, incident updates, calculation inspection, report generation and audit search.</w:t>
      </w:r>
    </w:p>
    <w:p>
      <w:pPr>
        <w:pStyle w:val="ListBullet"/>
      </w:pPr>
      <w:r>
        <w:t>Enforce validation and authorisation server side. Use transactional approval and publication, idempotent job handling and optimistic concurrency checks on edits.</w:t>
      </w:r>
    </w:p>
    <w:p>
      <w:pPr>
        <w:pStyle w:val="ListBullet"/>
      </w:pPr>
      <w:r>
        <w:t>Recalculate only affected sites and periods. Show queued, successful, failed and superseded runs; never substitute an old result without a stale indicator.</w:t>
      </w:r>
    </w:p>
    <w:p>
      <w:pPr>
        <w:pStyle w:val="Heading2"/>
      </w:pPr>
      <w:r>
        <w:t>Proposed nonfunctional targets</w:t>
      </w:r>
    </w:p>
    <w:tbl>
      <w:tblPr>
        <w:tblW w:type="auto" w:w="0"/>
        <w:tblLayout w:type="fixed"/>
        <w:tblLook w:firstColumn="1" w:firstRow="1" w:lastColumn="0" w:lastRow="0" w:noHBand="0" w:noVBand="1" w:val="04A0"/>
      </w:tblPr>
      <w:tblGrid>
        <w:gridCol w:w="1800"/>
        <w:gridCol w:w="8280"/>
      </w:tblGrid>
      <w:tr>
        <w:trPr>
          <w:cantSplit/>
          <w:tblHeader/>
        </w:trPr>
        <w:tc>
          <w:tcPr>
            <w:tcW w:type="dxa" w:w="1800"/>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sz w:val="18"/>
              </w:rPr>
              <w:t>Area</w:t>
            </w:r>
          </w:p>
        </w:tc>
        <w:tc>
          <w:tcPr>
            <w:tcW w:type="dxa" w:w="8280"/>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sz w:val="18"/>
              </w:rPr>
              <w:t>Requirement to validate during pilot</w:t>
            </w:r>
          </w:p>
        </w:tc>
      </w:tr>
      <w:tr>
        <w:trPr>
          <w:cantSplit/>
        </w:trPr>
        <w:tc>
          <w:tcPr>
            <w:tcW w:type="dxa" w:w="1800"/>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Security</w:t>
            </w:r>
          </w:p>
        </w:tc>
        <w:tc>
          <w:tcPr>
            <w:tcW w:type="dxa" w:w="8280"/>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MFA for privileged users and Airtel access; encrypted transport and storage; scoped attachment access; session expiry; user revocation; audit of authentication, exports and changes.</w:t>
            </w:r>
          </w:p>
        </w:tc>
      </w:tr>
      <w:tr>
        <w:trPr>
          <w:cantSplit/>
        </w:trPr>
        <w:tc>
          <w:tcPr>
            <w:tcW w:type="dxa" w:w="1800"/>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Audit and retention</w:t>
            </w:r>
          </w:p>
        </w:tc>
        <w:tc>
          <w:tcPr>
            <w:tcW w:type="dxa" w:w="8280"/>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Append-only change events with actor, time, action and revision IDs. Proposed 24 month online history; final retention and deletion policy require joint approval.</w:t>
            </w:r>
          </w:p>
        </w:tc>
      </w:tr>
      <w:tr>
        <w:trPr>
          <w:cantSplit/>
        </w:trPr>
        <w:tc>
          <w:tcPr>
            <w:tcW w:type="dxa" w:w="1800"/>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Performance</w:t>
            </w:r>
          </w:p>
        </w:tc>
        <w:tc>
          <w:tcPr>
            <w:tcW w:type="dxa" w:w="8280"/>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Target 95th percentile dashboard response under 3 seconds for 1,000 sites and 50 concurrent users; large reports run asynchronously with visible progress.</w:t>
            </w:r>
          </w:p>
        </w:tc>
      </w:tr>
      <w:tr>
        <w:trPr>
          <w:cantSplit/>
        </w:trPr>
        <w:tc>
          <w:tcPr>
            <w:tcW w:type="dxa" w:w="1800"/>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Processing</w:t>
            </w:r>
          </w:p>
        </w:tc>
        <w:tc>
          <w:tcPr>
            <w:tcW w:type="dxa" w:w="8280"/>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Target approved daily entry recalculation and dashboard publication within 60 seconds for routine single site changes; surface processing failures.</w:t>
            </w:r>
          </w:p>
        </w:tc>
      </w:tr>
      <w:tr>
        <w:trPr>
          <w:cantSplit/>
        </w:trPr>
        <w:tc>
          <w:tcPr>
            <w:tcW w:type="dxa" w:w="1800"/>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Reliability</w:t>
            </w:r>
          </w:p>
        </w:tc>
        <w:tc>
          <w:tcPr>
            <w:tcW w:type="dxa" w:w="8280"/>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Proposed portal availability 99.5% per month, distinct from site power availability. Daily backups; proposed recovery point 24 hours and recovery time 8 hours, verified by restoration exercises.</w:t>
            </w:r>
          </w:p>
        </w:tc>
      </w:tr>
      <w:tr>
        <w:trPr>
          <w:cantSplit/>
        </w:trPr>
        <w:tc>
          <w:tcPr>
            <w:tcW w:type="dxa" w:w="1800"/>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Usability</w:t>
            </w:r>
          </w:p>
        </w:tc>
        <w:tc>
          <w:tcPr>
            <w:tcW w:type="dxa" w:w="8280"/>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Works on mobile and desktop; keyboard navigation; labelled fields; readable tables; status text alongside colour; clear loading, empty, permission and error states.</w:t>
            </w:r>
          </w:p>
        </w:tc>
      </w:tr>
    </w:tbl>
    <w:p/>
    <w:p>
      <w:r>
        <w:br w:type="page"/>
      </w:r>
    </w:p>
    <w:p>
      <w:pPr>
        <w:pStyle w:val="Heading1"/>
      </w:pPr>
      <w:r>
        <w:t>12 MVP delivery and acceptance</w:t>
      </w:r>
    </w:p>
    <w:p>
      <w:pPr>
        <w:pStyle w:val="Heading2"/>
      </w:pPr>
      <w:r>
        <w:t>Delivery sequence</w:t>
      </w:r>
    </w:p>
    <w:p>
      <w:r>
        <w:t>Discovery and definition: inventory sites and sources, sample existing reports, agree service boundaries, data dictionary, approval rules and customer visibility. Establish a reference dataset and manually calculated expected results before development.</w:t>
      </w:r>
    </w:p>
    <w:p>
      <w:r>
        <w:t>MVP build: deliver site register, role access, manual forms and imports, approval, deterministic calculations, portfolio and site screens, incidents, acceptance tracking, evidence, audit and customer exports. Include a read only calculation explanation panel in the first release.</w:t>
      </w:r>
    </w:p>
    <w:p>
      <w:r>
        <w:t>Pilot and release: run a proposed 30 day pilot across 5 to 10 representative sites, including different source configurations. Reconcile daily entries and monthly outputs with Coloplus and Airtel reviewers. Roll out in batches after pilot acceptance. Build estimates and dates follow discovery; no implementation duration is committed here.</w:t>
      </w:r>
    </w:p>
    <w:p>
      <w:r>
        <w:t>Later scope: device integrations, building supply feeds, calibrated predictive models, customer API integration and advanced operational analytics. Avoid training a predictive model before collecting a suitable history and defining an independent validation set.</w:t>
      </w:r>
    </w:p>
    <w:p>
      <w:pPr>
        <w:pStyle w:val="Heading2"/>
      </w:pPr>
      <w:r>
        <w:t>Release acceptance tests</w:t>
      </w:r>
    </w:p>
    <w:tbl>
      <w:tblPr>
        <w:tblW w:type="auto" w:w="0"/>
        <w:tblLayout w:type="fixed"/>
        <w:tblLook w:firstColumn="1" w:firstRow="1" w:lastColumn="0" w:lastRow="0" w:noHBand="0" w:noVBand="1" w:val="04A0"/>
      </w:tblPr>
      <w:tblGrid>
        <w:gridCol w:w="936"/>
        <w:gridCol w:w="9144"/>
      </w:tblGrid>
      <w:tr>
        <w:trPr>
          <w:cantSplit/>
          <w:tblHeader/>
        </w:trPr>
        <w:tc>
          <w:tcPr>
            <w:tcW w:type="dxa" w:w="93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sz w:val="18"/>
              </w:rPr>
              <w:t>ID</w:t>
            </w:r>
          </w:p>
        </w:tc>
        <w:tc>
          <w:tcPr>
            <w:tcW w:type="dxa" w:w="9144"/>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sz w:val="18"/>
              </w:rPr>
              <w:t>Pass condition</w:t>
            </w:r>
          </w:p>
        </w:tc>
      </w:tr>
      <w:tr>
        <w:trPr>
          <w:cantSplit/>
        </w:trPr>
        <w:tc>
          <w:tcPr>
            <w:tcW w:type="dxa" w:w="93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AT01</w:t>
            </w:r>
          </w:p>
        </w:tc>
        <w:tc>
          <w:tcPr>
            <w:tcW w:type="dxa" w:w="9144"/>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An Airtel user cannot access another customer’s site, attachment, report or API response; unauthorised IDs fail on the server.</w:t>
            </w:r>
          </w:p>
        </w:tc>
      </w:tr>
      <w:tr>
        <w:trPr>
          <w:cantSplit/>
        </w:trPr>
        <w:tc>
          <w:tcPr>
            <w:tcW w:type="dxa" w:w="93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AT02</w:t>
            </w:r>
          </w:p>
        </w:tc>
        <w:tc>
          <w:tcPr>
            <w:tcW w:type="dxa" w:w="9144"/>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A known manual input produces the expected energy estimate and exposes its inputs, units, assumptions and formula version.</w:t>
            </w:r>
          </w:p>
        </w:tc>
      </w:tr>
      <w:tr>
        <w:trPr>
          <w:cantSplit/>
        </w:trPr>
        <w:tc>
          <w:tcPr>
            <w:tcW w:type="dxa" w:w="93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AT03</w:t>
            </w:r>
          </w:p>
        </w:tc>
        <w:tc>
          <w:tcPr>
            <w:tcW w:type="dxa" w:w="9144"/>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An overdue or missing entry displays stale or unknown. It never appears as newly confirmed available or as zero consumption.</w:t>
            </w:r>
          </w:p>
        </w:tc>
      </w:tr>
      <w:tr>
        <w:trPr>
          <w:cantSplit/>
        </w:trPr>
        <w:tc>
          <w:tcPr>
            <w:tcW w:type="dxa" w:w="93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AT04</w:t>
            </w:r>
          </w:p>
        </w:tc>
        <w:tc>
          <w:tcPr>
            <w:tcW w:type="dxa" w:w="9144"/>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Overlapping, duplicate and cross midnight intervals produce correct unions and daily allocations; incomplete data shows coverage.</w:t>
            </w:r>
          </w:p>
        </w:tc>
      </w:tr>
      <w:tr>
        <w:trPr>
          <w:cantSplit/>
        </w:trPr>
        <w:tc>
          <w:tcPr>
            <w:tcW w:type="dxa" w:w="93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AT05</w:t>
            </w:r>
          </w:p>
        </w:tc>
        <w:tc>
          <w:tcPr>
            <w:tcW w:type="dxa" w:w="9144"/>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Resubmitting the same import or offline draft creates no duplicate record. Concurrent edits produce a visible conflict.</w:t>
            </w:r>
          </w:p>
        </w:tc>
      </w:tr>
      <w:tr>
        <w:trPr>
          <w:cantSplit/>
        </w:trPr>
        <w:tc>
          <w:tcPr>
            <w:tcW w:type="dxa" w:w="93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AT06</w:t>
            </w:r>
          </w:p>
        </w:tc>
        <w:tc>
          <w:tcPr>
            <w:tcW w:type="dxa" w:w="9144"/>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Reporter cannot self approve. A correction preserves the original, updates derived results and creates a new report revision.</w:t>
            </w:r>
          </w:p>
        </w:tc>
      </w:tr>
      <w:tr>
        <w:trPr>
          <w:cantSplit/>
        </w:trPr>
        <w:tc>
          <w:tcPr>
            <w:tcW w:type="dxa" w:w="93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AT07</w:t>
            </w:r>
          </w:p>
        </w:tc>
        <w:tc>
          <w:tcPr>
            <w:tcW w:type="dxa" w:w="9144"/>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Formula activation requires approval. Prior results reproduce exactly from retained inputs and parameter versions.</w:t>
            </w:r>
          </w:p>
        </w:tc>
      </w:tr>
      <w:tr>
        <w:trPr>
          <w:cantSplit/>
        </w:trPr>
        <w:tc>
          <w:tcPr>
            <w:tcW w:type="dxa" w:w="93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AT08</w:t>
            </w:r>
          </w:p>
        </w:tc>
        <w:tc>
          <w:tcPr>
            <w:tcW w:type="dxa" w:w="9144"/>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Fuel movements reconcile within the same period; missing values block a false variance. Forecasts retain estimate labels.</w:t>
            </w:r>
          </w:p>
        </w:tc>
      </w:tr>
      <w:tr>
        <w:trPr>
          <w:cantSplit/>
        </w:trPr>
        <w:tc>
          <w:tcPr>
            <w:tcW w:type="dxa" w:w="93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AT09</w:t>
            </w:r>
          </w:p>
        </w:tc>
        <w:tc>
          <w:tcPr>
            <w:tcW w:type="dxa" w:w="9144"/>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Airtel can raise and track a dispute. Customer exports retain provenance, coverage and dispute state.</w:t>
            </w:r>
          </w:p>
        </w:tc>
      </w:tr>
      <w:tr>
        <w:trPr>
          <w:cantSplit/>
        </w:trPr>
        <w:tc>
          <w:tcPr>
            <w:tcW w:type="dxa" w:w="93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AT10</w:t>
            </w:r>
          </w:p>
        </w:tc>
        <w:tc>
          <w:tcPr>
            <w:tcW w:type="dxa" w:w="9144"/>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Acceptance states remain separate from operational status. Pending sites follow the configured KPI inclusion rule.</w:t>
            </w:r>
          </w:p>
        </w:tc>
      </w:tr>
      <w:tr>
        <w:trPr>
          <w:cantSplit/>
        </w:trPr>
        <w:tc>
          <w:tcPr>
            <w:tcW w:type="dxa" w:w="93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AT11</w:t>
            </w:r>
          </w:p>
        </w:tc>
        <w:tc>
          <w:tcPr>
            <w:tcW w:type="dxa" w:w="9144"/>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Load, access control, notification failure and backup restoration tests satisfy the agreed pilot targets.</w:t>
            </w:r>
          </w:p>
        </w:tc>
      </w:tr>
    </w:tbl>
    <w:p/>
    <w:p>
      <w:r>
        <w:br w:type="page"/>
      </w:r>
    </w:p>
    <w:p>
      <w:pPr>
        <w:pStyle w:val="Heading1"/>
      </w:pPr>
      <w:r>
        <w:t>13 Success measures and decisions before build</w:t>
      </w:r>
    </w:p>
    <w:p>
      <w:pPr>
        <w:pStyle w:val="Heading2"/>
      </w:pPr>
      <w:r>
        <w:t>Proposed pilot success measures</w:t>
      </w:r>
    </w:p>
    <w:p>
      <w:pPr>
        <w:pStyle w:val="ListBullet"/>
      </w:pPr>
      <w:r>
        <w:t>At least 95% of expected daily submissions arrive by the agreed cutoff, and at least 95% of eligible service minutes are supported by approved known intervals. Track these separately.</w:t>
      </w:r>
    </w:p>
    <w:p>
      <w:pPr>
        <w:pStyle w:val="ListBullet"/>
      </w:pPr>
      <w:r>
        <w:t>Every published calculated value has complete provenance and every published estimate is labelled in the interface and exports.</w:t>
      </w:r>
    </w:p>
    <w:p>
      <w:pPr>
        <w:pStyle w:val="ListBullet"/>
      </w:pPr>
      <w:r>
        <w:t>Reference calculations reconcile exactly before display rounding. Every approved correction and model change has a retained history.</w:t>
      </w:r>
    </w:p>
    <w:p>
      <w:pPr>
        <w:pStyle w:val="ListBullet"/>
      </w:pPr>
      <w:r>
        <w:t>All pilot sites have a named operational owner, reporting policy and next action for each open critical issue.</w:t>
      </w:r>
    </w:p>
    <w:p>
      <w:pPr>
        <w:pStyle w:val="ListBullet"/>
      </w:pPr>
      <w:r>
        <w:t>Coloplus and Airtel reviewers can complete site review, evidence inspection, dispute handling and export without developer assistance.</w:t>
      </w:r>
    </w:p>
    <w:p>
      <w:pPr>
        <w:pStyle w:val="Heading2"/>
      </w:pPr>
      <w:r>
        <w:t>Decisions required before configuration</w:t>
      </w:r>
    </w:p>
    <w:tbl>
      <w:tblPr>
        <w:tblW w:type="auto" w:w="0"/>
        <w:tblLayout w:type="fixed"/>
        <w:tblLook w:firstColumn="1" w:firstRow="1" w:lastColumn="0" w:lastRow="0" w:noHBand="0" w:noVBand="1" w:val="04A0"/>
      </w:tblPr>
      <w:tblGrid>
        <w:gridCol w:w="2376"/>
        <w:gridCol w:w="7704"/>
      </w:tblGrid>
      <w:tr>
        <w:trPr>
          <w:cantSplit/>
          <w:tblHeader/>
        </w:trPr>
        <w:tc>
          <w:tcPr>
            <w:tcW w:type="dxa" w:w="237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sz w:val="18"/>
              </w:rPr>
              <w:t>Decision</w:t>
            </w:r>
          </w:p>
        </w:tc>
        <w:tc>
          <w:tcPr>
            <w:tcW w:type="dxa" w:w="7704"/>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sz w:val="18"/>
              </w:rPr>
              <w:t>Proposed approach and owner</w:t>
            </w:r>
          </w:p>
        </w:tc>
      </w:tr>
      <w:tr>
        <w:trPr>
          <w:cantSplit/>
        </w:trPr>
        <w:tc>
          <w:tcPr>
            <w:tcW w:type="dxa" w:w="237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What is being monitored</w:t>
            </w:r>
          </w:p>
        </w:tc>
        <w:tc>
          <w:tcPr>
            <w:tcW w:type="dxa" w:w="7704"/>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Agree whether the service boundary is power to a specified load, building supply or telecom service. Power availability alone cannot establish network uptime. Joint operations decision.</w:t>
            </w:r>
          </w:p>
        </w:tc>
      </w:tr>
      <w:tr>
        <w:trPr>
          <w:cantSplit/>
        </w:trPr>
        <w:tc>
          <w:tcPr>
            <w:tcW w:type="dxa" w:w="237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Which data is obtainable</w:t>
            </w:r>
          </w:p>
        </w:tc>
        <w:tc>
          <w:tcPr>
            <w:tcW w:type="dxa" w:w="7704"/>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Inventory actual daily inputs, evidence and reporters. Start with daily closeout plus event based outage and restoration updates. Coloplus Operations.</w:t>
            </w:r>
          </w:p>
        </w:tc>
      </w:tr>
      <w:tr>
        <w:trPr>
          <w:cantSplit/>
        </w:trPr>
        <w:tc>
          <w:tcPr>
            <w:tcW w:type="dxa" w:w="237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Freshness and cutoff</w:t>
            </w:r>
          </w:p>
        </w:tc>
        <w:tc>
          <w:tcPr>
            <w:tcW w:type="dxa" w:w="7704"/>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Set cadence and stale thresholds per site or record type. A daily report cannot support a claim of current minute by minute condition. Joint operations decision.</w:t>
            </w:r>
          </w:p>
        </w:tc>
      </w:tr>
      <w:tr>
        <w:trPr>
          <w:cantSplit/>
        </w:trPr>
        <w:tc>
          <w:tcPr>
            <w:tcW w:type="dxa" w:w="237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Contractual availability</w:t>
            </w:r>
          </w:p>
        </w:tc>
        <w:tc>
          <w:tcPr>
            <w:tcW w:type="dxa" w:w="7704"/>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Agree eligible windows, acceptance inclusion, maintenance exclusions, unknown time treatment, dispute handling and aggregation. Until agreed, show operational metrics without an SLA compliance claim. Joint decision.</w:t>
            </w:r>
          </w:p>
        </w:tc>
      </w:tr>
      <w:tr>
        <w:trPr>
          <w:cantSplit/>
        </w:trPr>
        <w:tc>
          <w:tcPr>
            <w:tcW w:type="dxa" w:w="237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Initial formula and parameters</w:t>
            </w:r>
          </w:p>
        </w:tc>
        <w:tc>
          <w:tcPr>
            <w:tcW w:type="dxa" w:w="7704"/>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Agree which outputs matter first and validate load profiles, fuel curves and other assumptions. Coloplus technical owner with Airtel review of published methodology.</w:t>
            </w:r>
          </w:p>
        </w:tc>
      </w:tr>
      <w:tr>
        <w:trPr>
          <w:cantSplit/>
        </w:trPr>
        <w:tc>
          <w:tcPr>
            <w:tcW w:type="dxa" w:w="237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Evidence and publication</w:t>
            </w:r>
          </w:p>
        </w:tc>
        <w:tc>
          <w:tcPr>
            <w:tcW w:type="dxa" w:w="7704"/>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Agree evidence required by entry type, provisional incident visibility, approval turnaround and customer access. Joint operations decision.</w:t>
            </w:r>
          </w:p>
        </w:tc>
      </w:tr>
      <w:tr>
        <w:trPr>
          <w:cantSplit/>
        </w:trPr>
        <w:tc>
          <w:tcPr>
            <w:tcW w:type="dxa" w:w="237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Hosting and administration</w:t>
            </w:r>
          </w:p>
        </w:tc>
        <w:tc>
          <w:tcPr>
            <w:tcW w:type="dxa" w:w="7704"/>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Confirm identity provider, hosting requirements, portfolio size, alert channels, retention, support and recovery targets. Product and engineering owners.</w:t>
            </w:r>
          </w:p>
        </w:tc>
      </w:tr>
      <w:tr>
        <w:trPr>
          <w:cantSplit/>
        </w:trPr>
        <w:tc>
          <w:tcPr>
            <w:tcW w:type="dxa" w:w="2376"/>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Commercial use</w:t>
            </w:r>
          </w:p>
        </w:tc>
        <w:tc>
          <w:tcPr>
            <w:tcW w:type="dxa" w:w="7704"/>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60" w:line="247" w:lineRule="auto"/>
            </w:pPr>
            <w:r>
              <w:rPr>
                <w:b w:val="0"/>
                <w:sz w:val="18"/>
              </w:rPr>
              <w:t>Default to operational reporting. Any use for invoicing, penalties or commercial settlement requires separate agreement on accepted data and reconciliation. Joint commercial owners.</w:t>
            </w:r>
          </w:p>
        </w:tc>
      </w:tr>
    </w:tbl>
    <w:p/>
    <w:p>
      <w:pPr>
        <w:pStyle w:val="Heading2"/>
      </w:pPr>
      <w:r>
        <w:t>Recommended first release</w:t>
      </w:r>
    </w:p>
    <w:p>
      <w:r>
        <w:t>Deliver a normal customer monitoring experience centred on site condition, a complete reported fault register, downtime, accountability and recovery updates. Keep Coloplus entry tools and calculation administration behind role based access. Add energy and fuel estimates where inputs are adequate. Airtel can inspect each result and understand its evidence, age and limitations without navigating internal working files. The portal must not claim live metering or fabricate readings to create an appearance of continuous physical monitoring.</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Product requirements  •  Draft for joint review  •  24 October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COLOPLUS  |  AIRTEL CUSTOMER PORTAL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Georgia" w:hAnsi="Georgia"/>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Georgia" w:hAnsi="Georgia"/>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Georgia" w:hAnsi="Georgia"/>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Georgia" w:hAnsi="Georgia"/>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Georgia" w:hAnsi="Georgia"/>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Georgia" w:hAnsi="Georgia"/>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