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E9F1" w14:textId="10D9EFF2" w:rsidR="00317BDE" w:rsidRDefault="00317BDE" w:rsidP="00317BDE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At 55% positive cases, accuracy is a reliable metric without class imbalance concerns</w:t>
      </w:r>
      <w:r>
        <w:rPr>
          <w:rFonts w:ascii="Segoe UI" w:hAnsi="Segoe UI" w:cs="Segoe UI"/>
          <w:color w:val="1F2328"/>
        </w:rPr>
        <w:t>.</w:t>
      </w:r>
      <w:r>
        <w:rPr>
          <w:rFonts w:ascii="Segoe UI" w:hAnsi="Segoe UI" w:cs="Segoe UI"/>
          <w:color w:val="1F2328"/>
        </w:rPr>
        <w:t>ST_Slope, ChestPainType, and Oldpeak emerged as most informative clinically relevant ECG and symptom indicators.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Best performer with CV score of 85.3%. The optimal regularization (C = 0.006105) was much stronger than default, indicating multicollinearity from one-hot encoding required aggressive regularization.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The 85.3% cross-validation score reflects held-out performance, so final test accuracy should match this without surprises.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Despite slightly lower accuracy, it's most practical for doctors  interpretable rules matter more than a 2–3% accuracy gap in real diagnostics. Naive Bayes also performed well, confirming individual features carry strong signal</w:t>
      </w:r>
      <w:r>
        <w:rPr>
          <w:rFonts w:ascii="Segoe UI" w:hAnsi="Segoe UI" w:cs="Segoe UI"/>
          <w:color w:val="1F2328"/>
        </w:rPr>
        <w:t>.</w:t>
      </w:r>
    </w:p>
    <w:p w14:paraId="1E71719C" w14:textId="77777777" w:rsidR="00A7594E" w:rsidRPr="00A7594E" w:rsidRDefault="00A7594E" w:rsidP="00A7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21398" w14:textId="77777777" w:rsidR="0019369C" w:rsidRDefault="0019369C"/>
    <w:sectPr w:rsidR="00193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9651E"/>
    <w:multiLevelType w:val="multilevel"/>
    <w:tmpl w:val="FC38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4E"/>
    <w:rsid w:val="000B15BF"/>
    <w:rsid w:val="0019369C"/>
    <w:rsid w:val="00317BDE"/>
    <w:rsid w:val="00652792"/>
    <w:rsid w:val="009D6379"/>
    <w:rsid w:val="00A7594E"/>
    <w:rsid w:val="00CA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F063"/>
  <w15:chartTrackingRefBased/>
  <w15:docId w15:val="{533BCC85-2B82-4DED-8EED-1F38F6E0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7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59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59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8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2026-04-04T09:35:00Z</dcterms:created>
  <dcterms:modified xsi:type="dcterms:W3CDTF">2026-04-05T07:46:00Z</dcterms:modified>
</cp:coreProperties>
</file>