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3A96" w14:textId="08E95EFA" w:rsidR="009342EB" w:rsidRPr="009342EB" w:rsidRDefault="009342EB" w:rsidP="009342EB">
      <w:pPr>
        <w:spacing w:after="240" w:line="360" w:lineRule="auto"/>
        <w:jc w:val="center"/>
        <w:rPr>
          <w:b/>
          <w:bCs/>
          <w:spacing w:val="20"/>
        </w:rPr>
      </w:pPr>
      <w:r w:rsidRPr="009342EB">
        <w:rPr>
          <w:b/>
          <w:bCs/>
          <w:spacing w:val="20"/>
        </w:rPr>
        <w:t xml:space="preserve">IMC </w:t>
      </w:r>
      <w:r>
        <w:rPr>
          <w:b/>
          <w:bCs/>
          <w:spacing w:val="20"/>
        </w:rPr>
        <w:t xml:space="preserve">nas </w:t>
      </w:r>
      <w:r w:rsidRPr="009342EB">
        <w:rPr>
          <w:b/>
          <w:bCs/>
          <w:spacing w:val="20"/>
        </w:rPr>
        <w:t>faixas etárias</w:t>
      </w:r>
      <w:r>
        <w:rPr>
          <w:b/>
          <w:bCs/>
          <w:spacing w:val="20"/>
        </w:rPr>
        <w:t xml:space="preserve">, </w:t>
      </w:r>
      <w:r w:rsidRPr="009342EB">
        <w:rPr>
          <w:b/>
          <w:bCs/>
          <w:spacing w:val="20"/>
        </w:rPr>
        <w:t>com os links das fontes</w:t>
      </w:r>
    </w:p>
    <w:p w14:paraId="6F3A5864" w14:textId="6F90A977" w:rsidR="009342EB" w:rsidRPr="009342EB" w:rsidRDefault="009342EB" w:rsidP="009342EB">
      <w:pPr>
        <w:spacing w:after="240" w:line="360" w:lineRule="auto"/>
        <w:rPr>
          <w:b/>
          <w:bCs/>
          <w:spacing w:val="20"/>
        </w:rPr>
      </w:pPr>
      <w:r w:rsidRPr="009342EB">
        <w:rPr>
          <w:b/>
          <w:bCs/>
          <w:spacing w:val="20"/>
        </w:rPr>
        <w:t>1. Infância e Adolescência (2 a 19 anos)</w:t>
      </w:r>
    </w:p>
    <w:p w14:paraId="2C5DD8E2" w14:textId="77777777" w:rsidR="009342EB" w:rsidRPr="009342EB" w:rsidRDefault="009342EB" w:rsidP="009342EB">
      <w:pPr>
        <w:spacing w:after="240" w:line="360" w:lineRule="auto"/>
        <w:rPr>
          <w:spacing w:val="20"/>
        </w:rPr>
      </w:pPr>
      <w:r w:rsidRPr="009342EB">
        <w:rPr>
          <w:spacing w:val="20"/>
        </w:rPr>
        <w:t>As informações sobre os percentis de IMC para esta faixa etária, que classificam o estado de peso em "Abaixo do peso", "Peso saudável", "Sobrepeso" e "Obesidade", são padrões utilizados por organizações de saúde globais e nacionais.</w:t>
      </w:r>
    </w:p>
    <w:p w14:paraId="275626F3" w14:textId="77777777" w:rsidR="009342EB" w:rsidRPr="009342EB" w:rsidRDefault="009342EB" w:rsidP="009342EB">
      <w:pPr>
        <w:numPr>
          <w:ilvl w:val="0"/>
          <w:numId w:val="2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Associação Brasileira de Nutrologia (</w:t>
      </w:r>
      <w:proofErr w:type="spellStart"/>
      <w:r w:rsidRPr="009342EB">
        <w:rPr>
          <w:b/>
          <w:bCs/>
          <w:spacing w:val="20"/>
        </w:rPr>
        <w:t>ABRAN</w:t>
      </w:r>
      <w:proofErr w:type="spellEnd"/>
      <w:r w:rsidRPr="009342EB">
        <w:rPr>
          <w:b/>
          <w:bCs/>
          <w:spacing w:val="20"/>
        </w:rPr>
        <w:t>):</w:t>
      </w:r>
      <w:r w:rsidRPr="009342EB">
        <w:rPr>
          <w:spacing w:val="20"/>
        </w:rPr>
        <w:t xml:space="preserve"> A </w:t>
      </w:r>
      <w:proofErr w:type="spellStart"/>
      <w:r w:rsidRPr="009342EB">
        <w:rPr>
          <w:spacing w:val="20"/>
        </w:rPr>
        <w:t>ABRAN</w:t>
      </w:r>
      <w:proofErr w:type="spellEnd"/>
      <w:r w:rsidRPr="009342EB">
        <w:rPr>
          <w:spacing w:val="20"/>
        </w:rPr>
        <w:t xml:space="preserve"> oferece uma calculadora de IMC infantil e tabelas de classificação que estão em conformidade com as diretrizes da Organização Mundial da Saúde (OMS), detalhando os pontos de corte por sexo e idade.</w:t>
      </w:r>
    </w:p>
    <w:p w14:paraId="2F2111BE" w14:textId="77777777" w:rsidR="009342EB" w:rsidRPr="009342EB" w:rsidRDefault="009342EB" w:rsidP="009342EB">
      <w:pPr>
        <w:numPr>
          <w:ilvl w:val="1"/>
          <w:numId w:val="2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Link:</w:t>
      </w:r>
      <w:r w:rsidRPr="009342EB">
        <w:rPr>
          <w:spacing w:val="20"/>
        </w:rPr>
        <w:t xml:space="preserve"> </w:t>
      </w:r>
      <w:hyperlink r:id="rId5" w:tgtFrame="_blank" w:history="1">
        <w:r w:rsidRPr="009342EB">
          <w:rPr>
            <w:rStyle w:val="Hyperlink"/>
            <w:spacing w:val="20"/>
          </w:rPr>
          <w:t>https://abran.org.br/calculadoras/imc-infantil</w:t>
        </w:r>
      </w:hyperlink>
    </w:p>
    <w:p w14:paraId="22B27B38" w14:textId="77777777" w:rsidR="009342EB" w:rsidRPr="009342EB" w:rsidRDefault="009342EB" w:rsidP="009342EB">
      <w:pPr>
        <w:numPr>
          <w:ilvl w:val="0"/>
          <w:numId w:val="2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DATASUS - Ministério da Saúde do Brasil:</w:t>
      </w:r>
      <w:r w:rsidRPr="009342EB">
        <w:rPr>
          <w:spacing w:val="20"/>
        </w:rPr>
        <w:t xml:space="preserve"> O Departamento de Informática do Sistema Único de Saúde (DATASUS) apresenta as notas técnicas do Sistema de Vigilância Alimentar e Nutricional (</w:t>
      </w:r>
      <w:proofErr w:type="spellStart"/>
      <w:r w:rsidRPr="009342EB">
        <w:rPr>
          <w:spacing w:val="20"/>
        </w:rPr>
        <w:t>SISVAN</w:t>
      </w:r>
      <w:proofErr w:type="spellEnd"/>
      <w:r w:rsidRPr="009342EB">
        <w:rPr>
          <w:spacing w:val="20"/>
        </w:rPr>
        <w:t>), que descrevem os critérios de classificação do IMC para crianças e adolescentes, alinhados com as recomendações da OMS.</w:t>
      </w:r>
    </w:p>
    <w:p w14:paraId="342DDAFA" w14:textId="77777777" w:rsidR="009342EB" w:rsidRPr="009342EB" w:rsidRDefault="009342EB" w:rsidP="009342EB">
      <w:pPr>
        <w:numPr>
          <w:ilvl w:val="1"/>
          <w:numId w:val="2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Link:</w:t>
      </w:r>
      <w:r w:rsidRPr="009342EB">
        <w:rPr>
          <w:spacing w:val="20"/>
        </w:rPr>
        <w:t xml:space="preserve"> </w:t>
      </w:r>
      <w:hyperlink r:id="rId6" w:tgtFrame="_blank" w:history="1">
        <w:r w:rsidRPr="009342EB">
          <w:rPr>
            <w:rStyle w:val="Hyperlink"/>
            <w:spacing w:val="20"/>
          </w:rPr>
          <w:t>http://tabnet.datasus.gov.br/cgi/SISVAN/CNV/notas_sisvan.html</w:t>
        </w:r>
      </w:hyperlink>
    </w:p>
    <w:p w14:paraId="5E36752C" w14:textId="77777777" w:rsidR="009342EB" w:rsidRPr="009342EB" w:rsidRDefault="009342EB" w:rsidP="009342EB">
      <w:pPr>
        <w:spacing w:after="240" w:line="360" w:lineRule="auto"/>
        <w:rPr>
          <w:b/>
          <w:bCs/>
          <w:spacing w:val="20"/>
        </w:rPr>
      </w:pPr>
      <w:r w:rsidRPr="009342EB">
        <w:rPr>
          <w:b/>
          <w:bCs/>
          <w:spacing w:val="20"/>
        </w:rPr>
        <w:t>2. Idade Adulta (20 a 64 anos)</w:t>
      </w:r>
    </w:p>
    <w:p w14:paraId="6A39F658" w14:textId="77777777" w:rsidR="009342EB" w:rsidRPr="009342EB" w:rsidRDefault="009342EB" w:rsidP="009342EB">
      <w:pPr>
        <w:spacing w:after="240" w:line="360" w:lineRule="auto"/>
        <w:rPr>
          <w:spacing w:val="20"/>
        </w:rPr>
      </w:pPr>
      <w:r w:rsidRPr="009342EB">
        <w:rPr>
          <w:spacing w:val="20"/>
        </w:rPr>
        <w:t>A classificação do IMC para adultos é a mais padronizada e amplamente divulgada por organizações de saúde em todo o mundo.</w:t>
      </w:r>
    </w:p>
    <w:p w14:paraId="4CAC743F" w14:textId="77777777" w:rsidR="009342EB" w:rsidRPr="009342EB" w:rsidRDefault="009342EB" w:rsidP="009342EB">
      <w:pPr>
        <w:numPr>
          <w:ilvl w:val="0"/>
          <w:numId w:val="3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Biblioteca Virtual em Saúde - Ministério da Saúde do Brasil:</w:t>
      </w:r>
      <w:r w:rsidRPr="009342EB">
        <w:rPr>
          <w:spacing w:val="20"/>
        </w:rPr>
        <w:t xml:space="preserve"> Este portal oferece informações claras e diretas sobre a classificação do IMC para adultos, definindo as faixas de "Abaixo do peso", "Peso normal", "Sobrepeso" e "Obesidade".</w:t>
      </w:r>
    </w:p>
    <w:p w14:paraId="0EF46C68" w14:textId="77777777" w:rsidR="009342EB" w:rsidRPr="009342EB" w:rsidRDefault="009342EB" w:rsidP="009342EB">
      <w:pPr>
        <w:numPr>
          <w:ilvl w:val="1"/>
          <w:numId w:val="3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Link:</w:t>
      </w:r>
      <w:r w:rsidRPr="009342EB">
        <w:rPr>
          <w:spacing w:val="20"/>
        </w:rPr>
        <w:t xml:space="preserve"> </w:t>
      </w:r>
      <w:hyperlink r:id="rId7" w:tgtFrame="_blank" w:history="1">
        <w:r w:rsidRPr="009342EB">
          <w:rPr>
            <w:rStyle w:val="Hyperlink"/>
            <w:spacing w:val="20"/>
          </w:rPr>
          <w:t>https://bvsms.saude.gov.br/bvs/dicas/215_obesidade.html</w:t>
        </w:r>
      </w:hyperlink>
    </w:p>
    <w:p w14:paraId="51EF8B40" w14:textId="77777777" w:rsidR="009342EB" w:rsidRPr="009342EB" w:rsidRDefault="009342EB" w:rsidP="009342EB">
      <w:pPr>
        <w:numPr>
          <w:ilvl w:val="0"/>
          <w:numId w:val="3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Linhas de Cuidado - Portal da Saúde do Brasil:</w:t>
      </w:r>
      <w:r w:rsidRPr="009342EB">
        <w:rPr>
          <w:spacing w:val="20"/>
        </w:rPr>
        <w:t xml:space="preserve"> Este site do governo brasileiro detalha a classificação do IMC para adultos e os riscos de comorbidades associados a cada faixa, incluindo as subdivisões da obesidade em classes I, II e III.</w:t>
      </w:r>
    </w:p>
    <w:p w14:paraId="6DBDFC4D" w14:textId="77777777" w:rsidR="009342EB" w:rsidRPr="009342EB" w:rsidRDefault="009342EB" w:rsidP="009342EB">
      <w:pPr>
        <w:numPr>
          <w:ilvl w:val="1"/>
          <w:numId w:val="3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Link:</w:t>
      </w:r>
      <w:r w:rsidRPr="009342EB">
        <w:rPr>
          <w:spacing w:val="20"/>
        </w:rPr>
        <w:t xml:space="preserve"> </w:t>
      </w:r>
      <w:hyperlink r:id="rId8" w:tgtFrame="_blank" w:history="1">
        <w:r w:rsidRPr="009342EB">
          <w:rPr>
            <w:rStyle w:val="Hyperlink"/>
            <w:spacing w:val="20"/>
          </w:rPr>
          <w:t>https://linhasdecuidado.saude.gov.br/portal/obesidade-no-adulto/unidade-de-pronto-atendimento/definicao-obesidade-no-adulto/</w:t>
        </w:r>
      </w:hyperlink>
    </w:p>
    <w:p w14:paraId="2C84FEF3" w14:textId="77777777" w:rsidR="009342EB" w:rsidRPr="009342EB" w:rsidRDefault="009342EB" w:rsidP="009342EB">
      <w:pPr>
        <w:spacing w:after="240" w:line="360" w:lineRule="auto"/>
        <w:rPr>
          <w:b/>
          <w:bCs/>
          <w:spacing w:val="20"/>
        </w:rPr>
      </w:pPr>
      <w:r w:rsidRPr="009342EB">
        <w:rPr>
          <w:b/>
          <w:bCs/>
          <w:spacing w:val="20"/>
        </w:rPr>
        <w:t>3. Terceira Idade (65 anos ou mais)</w:t>
      </w:r>
    </w:p>
    <w:p w14:paraId="05357630" w14:textId="77777777" w:rsidR="009342EB" w:rsidRPr="009342EB" w:rsidRDefault="009342EB" w:rsidP="009342EB">
      <w:pPr>
        <w:spacing w:after="240" w:line="360" w:lineRule="auto"/>
        <w:rPr>
          <w:spacing w:val="20"/>
        </w:rPr>
      </w:pPr>
      <w:r w:rsidRPr="009342EB">
        <w:rPr>
          <w:spacing w:val="20"/>
        </w:rPr>
        <w:t>Para idosos, há um consenso na literatura científica e em diretrizes de saúde de que os pontos de corte do IMC devem ser diferentes dos de adultos mais jovens, visando a prevenção da sarcopenia e da desnutrição.</w:t>
      </w:r>
    </w:p>
    <w:p w14:paraId="6F03D4F8" w14:textId="77777777" w:rsidR="009342EB" w:rsidRPr="009342EB" w:rsidRDefault="009342EB" w:rsidP="009342EB">
      <w:pPr>
        <w:numPr>
          <w:ilvl w:val="0"/>
          <w:numId w:val="4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 xml:space="preserve">Instituto de Longevidade </w:t>
      </w:r>
      <w:proofErr w:type="spellStart"/>
      <w:r w:rsidRPr="009342EB">
        <w:rPr>
          <w:b/>
          <w:bCs/>
          <w:spacing w:val="20"/>
        </w:rPr>
        <w:t>MAG</w:t>
      </w:r>
      <w:proofErr w:type="spellEnd"/>
      <w:r w:rsidRPr="009342EB">
        <w:rPr>
          <w:b/>
          <w:bCs/>
          <w:spacing w:val="20"/>
        </w:rPr>
        <w:t>:</w:t>
      </w:r>
      <w:r w:rsidRPr="009342EB">
        <w:rPr>
          <w:spacing w:val="20"/>
        </w:rPr>
        <w:t xml:space="preserve"> O artigo discute como o peso ideal muda após os 60 anos e apresenta a tabela de classificação do IMC para idosos adotada no Brasil, conhecida como padrão de </w:t>
      </w:r>
      <w:proofErr w:type="spellStart"/>
      <w:r w:rsidRPr="009342EB">
        <w:rPr>
          <w:spacing w:val="20"/>
        </w:rPr>
        <w:t>Lipschitz</w:t>
      </w:r>
      <w:proofErr w:type="spellEnd"/>
      <w:r w:rsidRPr="009342EB">
        <w:rPr>
          <w:spacing w:val="20"/>
        </w:rPr>
        <w:t>, que estabelece a faixa de peso adequado entre 22 e 27.</w:t>
      </w:r>
    </w:p>
    <w:p w14:paraId="010E1D84" w14:textId="77777777" w:rsidR="009342EB" w:rsidRPr="009342EB" w:rsidRDefault="009342EB" w:rsidP="009342EB">
      <w:pPr>
        <w:numPr>
          <w:ilvl w:val="1"/>
          <w:numId w:val="4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Link:</w:t>
      </w:r>
      <w:r w:rsidRPr="009342EB">
        <w:rPr>
          <w:spacing w:val="20"/>
        </w:rPr>
        <w:t xml:space="preserve"> </w:t>
      </w:r>
      <w:hyperlink r:id="rId9" w:tgtFrame="_blank" w:history="1">
        <w:r w:rsidRPr="009342EB">
          <w:rPr>
            <w:rStyle w:val="Hyperlink"/>
            <w:spacing w:val="20"/>
          </w:rPr>
          <w:t>https://institutodelon</w:t>
        </w:r>
        <w:r w:rsidRPr="009342EB">
          <w:rPr>
            <w:rStyle w:val="Hyperlink"/>
            <w:spacing w:val="20"/>
          </w:rPr>
          <w:t>g</w:t>
        </w:r>
        <w:r w:rsidRPr="009342EB">
          <w:rPr>
            <w:rStyle w:val="Hyperlink"/>
            <w:spacing w:val="20"/>
          </w:rPr>
          <w:t>evidade.org/longevidade-e-saude/saude-fisica/peso-ideal-muda-depois-dos-60-anos/</w:t>
        </w:r>
      </w:hyperlink>
    </w:p>
    <w:p w14:paraId="158F0854" w14:textId="77777777" w:rsidR="009342EB" w:rsidRPr="009342EB" w:rsidRDefault="009342EB" w:rsidP="009342EB">
      <w:pPr>
        <w:numPr>
          <w:ilvl w:val="0"/>
          <w:numId w:val="4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Revista Médica de Minas Gerais (</w:t>
      </w:r>
      <w:proofErr w:type="spellStart"/>
      <w:r w:rsidRPr="009342EB">
        <w:rPr>
          <w:b/>
          <w:bCs/>
          <w:spacing w:val="20"/>
        </w:rPr>
        <w:t>RMMG</w:t>
      </w:r>
      <w:proofErr w:type="spellEnd"/>
      <w:r w:rsidRPr="009342EB">
        <w:rPr>
          <w:b/>
          <w:bCs/>
          <w:spacing w:val="20"/>
        </w:rPr>
        <w:t>) - Revisão da Literatura:</w:t>
      </w:r>
      <w:r w:rsidRPr="009342EB">
        <w:rPr>
          <w:spacing w:val="20"/>
        </w:rPr>
        <w:t xml:space="preserve"> Este artigo de revisão científica discute a avaliação nutricional em idosos e cita a recomendação da </w:t>
      </w:r>
      <w:proofErr w:type="spellStart"/>
      <w:r w:rsidRPr="009342EB">
        <w:rPr>
          <w:i/>
          <w:iCs/>
          <w:spacing w:val="20"/>
        </w:rPr>
        <w:t>Nutrition</w:t>
      </w:r>
      <w:proofErr w:type="spellEnd"/>
      <w:r w:rsidRPr="009342EB">
        <w:rPr>
          <w:i/>
          <w:iCs/>
          <w:spacing w:val="20"/>
        </w:rPr>
        <w:t xml:space="preserve"> </w:t>
      </w:r>
      <w:proofErr w:type="spellStart"/>
      <w:r w:rsidRPr="009342EB">
        <w:rPr>
          <w:i/>
          <w:iCs/>
          <w:spacing w:val="20"/>
        </w:rPr>
        <w:t>Screening</w:t>
      </w:r>
      <w:proofErr w:type="spellEnd"/>
      <w:r w:rsidRPr="009342EB">
        <w:rPr>
          <w:i/>
          <w:iCs/>
          <w:spacing w:val="20"/>
        </w:rPr>
        <w:t xml:space="preserve"> </w:t>
      </w:r>
      <w:proofErr w:type="spellStart"/>
      <w:r w:rsidRPr="009342EB">
        <w:rPr>
          <w:i/>
          <w:iCs/>
          <w:spacing w:val="20"/>
        </w:rPr>
        <w:t>Initiative</w:t>
      </w:r>
      <w:proofErr w:type="spellEnd"/>
      <w:r w:rsidRPr="009342EB">
        <w:rPr>
          <w:spacing w:val="20"/>
        </w:rPr>
        <w:t xml:space="preserve"> (</w:t>
      </w:r>
      <w:proofErr w:type="spellStart"/>
      <w:r w:rsidRPr="009342EB">
        <w:rPr>
          <w:spacing w:val="20"/>
        </w:rPr>
        <w:t>NSI</w:t>
      </w:r>
      <w:proofErr w:type="spellEnd"/>
      <w:r w:rsidRPr="009342EB">
        <w:rPr>
          <w:spacing w:val="20"/>
        </w:rPr>
        <w:t>) de adotar os pontos de corte de IMC entre 22 e 27 kg/m² para essa população.</w:t>
      </w:r>
    </w:p>
    <w:p w14:paraId="2B3F3AE9" w14:textId="77777777" w:rsidR="009342EB" w:rsidRPr="009342EB" w:rsidRDefault="009342EB" w:rsidP="009342EB">
      <w:pPr>
        <w:numPr>
          <w:ilvl w:val="1"/>
          <w:numId w:val="4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Link:</w:t>
      </w:r>
      <w:r w:rsidRPr="009342EB">
        <w:rPr>
          <w:spacing w:val="20"/>
        </w:rPr>
        <w:t xml:space="preserve"> </w:t>
      </w:r>
      <w:hyperlink r:id="rId10" w:tgtFrame="_blank" w:history="1">
        <w:r w:rsidRPr="009342EB">
          <w:rPr>
            <w:rStyle w:val="Hyperlink"/>
            <w:spacing w:val="20"/>
          </w:rPr>
          <w:t>https://www.rmmg.org/artigo/detalhes/1366</w:t>
        </w:r>
      </w:hyperlink>
    </w:p>
    <w:p w14:paraId="33C3CB0F" w14:textId="77777777" w:rsidR="009342EB" w:rsidRPr="009342EB" w:rsidRDefault="009342EB" w:rsidP="009342EB">
      <w:pPr>
        <w:spacing w:after="240" w:line="360" w:lineRule="auto"/>
        <w:rPr>
          <w:b/>
          <w:bCs/>
          <w:spacing w:val="20"/>
        </w:rPr>
      </w:pPr>
      <w:r w:rsidRPr="009342EB">
        <w:rPr>
          <w:b/>
          <w:bCs/>
          <w:spacing w:val="20"/>
        </w:rPr>
        <w:t>4. Senescência (78 anos ou mais)</w:t>
      </w:r>
    </w:p>
    <w:p w14:paraId="7951C870" w14:textId="77777777" w:rsidR="009342EB" w:rsidRPr="009342EB" w:rsidRDefault="009342EB" w:rsidP="009342EB">
      <w:pPr>
        <w:spacing w:after="240" w:line="360" w:lineRule="auto"/>
        <w:rPr>
          <w:spacing w:val="20"/>
        </w:rPr>
      </w:pPr>
      <w:r w:rsidRPr="009342EB">
        <w:rPr>
          <w:spacing w:val="20"/>
        </w:rPr>
        <w:t>Para a população mais idosa, as faixas de IMC podem ser ainda mais ajustadas, refletindo a maior vulnerabilidade a alterações na composição corporal e à desnutrição.</w:t>
      </w:r>
    </w:p>
    <w:p w14:paraId="51836BE8" w14:textId="77777777" w:rsidR="009342EB" w:rsidRPr="009342EB" w:rsidRDefault="009342EB" w:rsidP="009342EB">
      <w:pPr>
        <w:numPr>
          <w:ilvl w:val="0"/>
          <w:numId w:val="5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 xml:space="preserve">Omni </w:t>
      </w:r>
      <w:proofErr w:type="spellStart"/>
      <w:r w:rsidRPr="009342EB">
        <w:rPr>
          <w:b/>
          <w:bCs/>
          <w:spacing w:val="20"/>
        </w:rPr>
        <w:t>Calculator</w:t>
      </w:r>
      <w:proofErr w:type="spellEnd"/>
      <w:r w:rsidRPr="009342EB">
        <w:rPr>
          <w:b/>
          <w:bCs/>
          <w:spacing w:val="20"/>
        </w:rPr>
        <w:t xml:space="preserve"> - Calculadora de IMC Geriátrico:</w:t>
      </w:r>
      <w:r w:rsidRPr="009342EB">
        <w:rPr>
          <w:spacing w:val="20"/>
        </w:rPr>
        <w:t xml:space="preserve"> Esta ferramenta se baseia em estudos e diretrizes para a população idosa e sugere uma faixa de normalidade do IMC entre 23 e 29,9 kg/m², o que está de acordo com a informação apresentada no texto para a senescência.</w:t>
      </w:r>
    </w:p>
    <w:p w14:paraId="39CF8537" w14:textId="77777777" w:rsidR="009342EB" w:rsidRPr="009342EB" w:rsidRDefault="009342EB" w:rsidP="009342EB">
      <w:pPr>
        <w:numPr>
          <w:ilvl w:val="1"/>
          <w:numId w:val="5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Link:</w:t>
      </w:r>
      <w:r w:rsidRPr="009342EB">
        <w:rPr>
          <w:spacing w:val="20"/>
        </w:rPr>
        <w:t xml:space="preserve"> </w:t>
      </w:r>
      <w:hyperlink r:id="rId11" w:tgtFrame="_blank" w:history="1">
        <w:r w:rsidRPr="009342EB">
          <w:rPr>
            <w:rStyle w:val="Hyperlink"/>
            <w:spacing w:val="20"/>
          </w:rPr>
          <w:t>https://www.omnicalculator.com/pt/saude/calculadora-imc-geriatrico</w:t>
        </w:r>
      </w:hyperlink>
    </w:p>
    <w:p w14:paraId="693651F7" w14:textId="77777777" w:rsidR="009342EB" w:rsidRPr="009342EB" w:rsidRDefault="009342EB" w:rsidP="009342EB">
      <w:pPr>
        <w:numPr>
          <w:ilvl w:val="0"/>
          <w:numId w:val="5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SciELO - Comparação de medidas antropométricas de idosos:</w:t>
      </w:r>
      <w:r w:rsidRPr="009342EB">
        <w:rPr>
          <w:spacing w:val="20"/>
        </w:rPr>
        <w:t xml:space="preserve"> Um estudo publicado na plataforma SciELO que analisa o estado nutricional de idosos por faixas etárias (incluindo 80 anos ou mais) utiliza pontos de corte da Organização Pan-Americana da Saúde (OPAS) que diferenciam o IMC ideal para idosos (23 a 28 kg/m²), apoiando a ideia de faixas de peso mais elevadas para os mais velhos.</w:t>
      </w:r>
    </w:p>
    <w:p w14:paraId="63F35967" w14:textId="77777777" w:rsidR="009342EB" w:rsidRPr="009342EB" w:rsidRDefault="009342EB" w:rsidP="009342EB">
      <w:pPr>
        <w:numPr>
          <w:ilvl w:val="1"/>
          <w:numId w:val="5"/>
        </w:numPr>
        <w:spacing w:after="240" w:line="360" w:lineRule="auto"/>
        <w:rPr>
          <w:spacing w:val="20"/>
        </w:rPr>
      </w:pPr>
      <w:r w:rsidRPr="009342EB">
        <w:rPr>
          <w:b/>
          <w:bCs/>
          <w:spacing w:val="20"/>
        </w:rPr>
        <w:t>Link:</w:t>
      </w:r>
      <w:r w:rsidRPr="009342EB">
        <w:rPr>
          <w:spacing w:val="20"/>
        </w:rPr>
        <w:t xml:space="preserve"> </w:t>
      </w:r>
      <w:hyperlink r:id="rId12" w:tgtFrame="_blank" w:history="1">
        <w:r w:rsidRPr="009342EB">
          <w:rPr>
            <w:rStyle w:val="Hyperlink"/>
            <w:spacing w:val="20"/>
          </w:rPr>
          <w:t>https://www.scielo.br/j/rbgg/a/dXDsmQbfcFtL9qLkmj9jxQr/?format=pdf</w:t>
        </w:r>
      </w:hyperlink>
    </w:p>
    <w:p w14:paraId="09B9BB1C" w14:textId="77777777" w:rsidR="009342EB" w:rsidRPr="009342EB" w:rsidRDefault="009342EB" w:rsidP="009342EB">
      <w:pPr>
        <w:spacing w:after="240" w:line="360" w:lineRule="auto"/>
        <w:rPr>
          <w:spacing w:val="20"/>
        </w:rPr>
      </w:pPr>
      <w:r w:rsidRPr="009342EB">
        <w:rPr>
          <w:spacing w:val="20"/>
        </w:rPr>
        <w:t>As fontes acima fornecem uma base sólida e confiável para as faixas de IMC apresentadas no texto, refletindo as recomendações de importantes organizações de saúde e estudos científicos na área da nutrição.</w:t>
      </w:r>
    </w:p>
    <w:p w14:paraId="7FA194C3" w14:textId="77777777" w:rsidR="009342EB" w:rsidRDefault="009342EB" w:rsidP="00095E24">
      <w:pPr>
        <w:spacing w:after="240" w:line="360" w:lineRule="auto"/>
        <w:rPr>
          <w:spacing w:val="20"/>
        </w:rPr>
      </w:pPr>
    </w:p>
    <w:p w14:paraId="29C00389" w14:textId="77777777" w:rsidR="009342EB" w:rsidRDefault="009342EB" w:rsidP="00095E24">
      <w:pPr>
        <w:spacing w:after="240" w:line="360" w:lineRule="auto"/>
        <w:rPr>
          <w:spacing w:val="20"/>
        </w:rPr>
      </w:pPr>
    </w:p>
    <w:p w14:paraId="08F619C5" w14:textId="0D61BE8F" w:rsidR="009342EB" w:rsidRDefault="009342EB" w:rsidP="00095E24">
      <w:pPr>
        <w:pBdr>
          <w:top w:val="double" w:sz="6" w:space="1" w:color="auto"/>
          <w:bottom w:val="double" w:sz="6" w:space="1" w:color="auto"/>
        </w:pBdr>
        <w:spacing w:after="240" w:line="360" w:lineRule="auto"/>
        <w:rPr>
          <w:spacing w:val="20"/>
        </w:rPr>
      </w:pPr>
    </w:p>
    <w:p w14:paraId="1B00EBC6" w14:textId="77777777" w:rsidR="009342EB" w:rsidRDefault="009342EB" w:rsidP="00095E24">
      <w:pPr>
        <w:spacing w:after="240" w:line="360" w:lineRule="auto"/>
        <w:rPr>
          <w:spacing w:val="20"/>
        </w:rPr>
      </w:pPr>
    </w:p>
    <w:p w14:paraId="1E788E72" w14:textId="77777777" w:rsidR="009342EB" w:rsidRDefault="009342EB" w:rsidP="00095E24">
      <w:pPr>
        <w:spacing w:after="240" w:line="360" w:lineRule="auto"/>
        <w:rPr>
          <w:spacing w:val="20"/>
        </w:rPr>
      </w:pPr>
    </w:p>
    <w:p w14:paraId="78F39CD9" w14:textId="64474D9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O impacto do senso de propósito na senescência: como podemos quantificar a "vitalidade juvenil"?</w:t>
      </w:r>
    </w:p>
    <w:p w14:paraId="34D52D37" w14:textId="5134F689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A conexão entre um forte senso de propósito e a redução da mortalidade por doenças relacionadas ao envelhecimento sugere que a motivação intrínseca pode ser um fator protetor fundamental. Pesquisas futuras poderiam explorar biomarcadores que refletem esse 'senso de propósito' e investigar intervenções que promovam a vitalidade juvenil, mesmo em idades avançadas. Isso pode incluir o desenvolvimento de programas de mentoria intergeracional ou a criação de ambientes que incentivem a participação em atividades significativas, buscando traduzir o conceito abstrato de 'senso de propósito' em resultados tangíveis e saúde e bem-estar na senescência.</w:t>
      </w:r>
    </w:p>
    <w:p w14:paraId="71345E89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011B9985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04:10</w:t>
      </w:r>
    </w:p>
    <w:p w14:paraId="4CF868D8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1ADD3E96" w14:textId="7F286D5C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a combinação de fatores de estilo de vida saudáveis pode otimizar a longevidade?</w:t>
      </w:r>
    </w:p>
    <w:p w14:paraId="34B6CDF8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A pesquisa demonstra que a adesão a múltiplos hábitos saudáveis simultaneamente (exercício, dieta, não fumar, consumo moderado de álcool e atividades mentalmente estimulantes) tem um impacto sinérgico na redução do risco de doenças relacionadas à idade, como o Alzheimer. Explorar a interação precisa desses fatores e suas janelas de oportunidade ideais ao longo da vida pode revelar estratégias de intervenção mais eficazes e personalizadas para promover uma longevidade vigorosa, indo além das abordagens tradicionais focadas em fatores isolados.</w:t>
      </w:r>
    </w:p>
    <w:p w14:paraId="64088164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3558B6CD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04:10</w:t>
      </w:r>
    </w:p>
    <w:p w14:paraId="59FC142A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2769B3FC" w14:textId="20222BEE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a combinação de propósito de vida e aprendizado contínuo pode redefinir os cuidados com a longevidade?</w:t>
      </w:r>
    </w:p>
    <w:p w14:paraId="1D2A9866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A ênfase na importância de ter um 'ikigai' (propósito de vida) e investir em aprendizado contínuo sugere que os cuidados com a longevidade devem ir além dos aspectos físicos, incorporando também o bem-estar mental e emocional. Pesquisas futuras poderiam explorar como o engajamento em atividades significativas e o desenvolvimento constante de novas habilidades contribuem para a resiliência, a adaptação e, consequentemente, para uma vida mais longa e saudável. Essa abordagem holística pode oferecer novas perspectivas sobre como promover o envelhecimento ativo e bem-sucedido.</w:t>
      </w:r>
    </w:p>
    <w:p w14:paraId="06255055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60878719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04:10</w:t>
      </w:r>
    </w:p>
    <w:p w14:paraId="7E2A843C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4A56A917" w14:textId="22ED217D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a análise longitudinal dos percentis de peso pode revelar padrões de saúde preditivos?</w:t>
      </w:r>
    </w:p>
    <w:p w14:paraId="79A1BD7B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A presente análise oferece um retrato estático dos percentis de peso em diferentes faixas etárias. No entanto, o verdadeiro potencial reside na análise longitudinal. Imaginar um estudo que acompanhe indivíduos ao longo de décadas, rastreando suas trajetórias de peso e correlacionando-as com indicadores de saúde e longevidade, poderia revelar padrões preditivos valiosos. Por exemplo, identificar em que momento desvios significativos dos percentis 'ideais' preveem o surgimento de doenças crônicas ou impactam a expectativa de vida. Essa abordagem dinâmica e personalizada poderia revolucionar as estratégias de prevenção e intervenção, permitindo abordagens mais eficazes para promover a longevidade com saúde.</w:t>
      </w:r>
    </w:p>
    <w:p w14:paraId="4CEF07A0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09046D5B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04:09</w:t>
      </w:r>
    </w:p>
    <w:p w14:paraId="61FF0DF2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09E3E293" w14:textId="79AFA2A2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a tecnologia de monitoramento contínuo pode personalizar as recomendações de peso e estilo de vida para promover a longevidade?</w:t>
      </w:r>
    </w:p>
    <w:p w14:paraId="0677E2D2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A calculadora de IMC oferece uma visão estática do estado de saúde. No entanto, a integração de dispositivos vestíveis e sensores biométricos poderia fornecer dados contínuos e personalizados. Esses dados poderiam ser utilizados para criar modelos preditivos mais precisos sobre a saúde e o bem-estar ao longo da vida, permitindo intervenções mais oportunas e eficazes para promover a longevidade com vigor juvenil.</w:t>
      </w:r>
    </w:p>
    <w:p w14:paraId="4045355B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3A1CBE33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04:09</w:t>
      </w:r>
    </w:p>
    <w:p w14:paraId="50D27B03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7BB971B5" w14:textId="35C60479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podemos personalizar as intervenções de saúde com base nas trajetórias individuais de IMC, considerando fatores genéticos e ambientais?</w:t>
      </w:r>
    </w:p>
    <w:p w14:paraId="144C1C07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A pesquisa revela que diferentes trajetórias de IMC na infância têm impactos distintos na saúde da adolescência. Isso sugere a necessidade de abordagens de saúde mais personalizadas, que considerem não apenas o IMC atual, mas também a história de ganho de peso de cada indivíduo. Explorar como fatores genéticos e ambientais interagem para influenciar essas trajetórias pode abrir caminho para intervenções mais eficazes e direcionadas, maximizando o potencial de promoção da saúde a longo prazo.</w:t>
      </w:r>
    </w:p>
    <w:p w14:paraId="46DBE1FA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7C791ED1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04:08</w:t>
      </w:r>
    </w:p>
    <w:p w14:paraId="42895270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4DA02073" w14:textId="424740AF" w:rsidR="00095E24" w:rsidRPr="00095E24" w:rsidRDefault="00095E24" w:rsidP="00095E24">
      <w:pPr>
        <w:spacing w:after="240" w:line="360" w:lineRule="auto"/>
        <w:rPr>
          <w:spacing w:val="20"/>
        </w:rPr>
      </w:pPr>
      <w:proofErr w:type="spellStart"/>
      <w:r w:rsidRPr="00095E24">
        <w:rPr>
          <w:spacing w:val="20"/>
        </w:rPr>
        <w:t>How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can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we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integrate</w:t>
      </w:r>
      <w:proofErr w:type="spellEnd"/>
      <w:r w:rsidRPr="00095E24">
        <w:rPr>
          <w:spacing w:val="20"/>
        </w:rPr>
        <w:t xml:space="preserve"> AI </w:t>
      </w:r>
      <w:proofErr w:type="spellStart"/>
      <w:r w:rsidRPr="00095E24">
        <w:rPr>
          <w:spacing w:val="20"/>
        </w:rPr>
        <w:t>image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verification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into</w:t>
      </w:r>
      <w:proofErr w:type="spellEnd"/>
      <w:r w:rsidRPr="00095E24">
        <w:rPr>
          <w:spacing w:val="20"/>
        </w:rPr>
        <w:t xml:space="preserve"> healthcare communication for </w:t>
      </w:r>
      <w:proofErr w:type="spellStart"/>
      <w:r w:rsidRPr="00095E24">
        <w:rPr>
          <w:spacing w:val="20"/>
        </w:rPr>
        <w:t>increased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trust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and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comprehension</w:t>
      </w:r>
      <w:proofErr w:type="spellEnd"/>
      <w:r w:rsidRPr="00095E24">
        <w:rPr>
          <w:spacing w:val="20"/>
        </w:rPr>
        <w:t>?</w:t>
      </w:r>
    </w:p>
    <w:p w14:paraId="1309C49B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 xml:space="preserve">The </w:t>
      </w:r>
      <w:proofErr w:type="spellStart"/>
      <w:r w:rsidRPr="00095E24">
        <w:rPr>
          <w:spacing w:val="20"/>
        </w:rPr>
        <w:t>statement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regarding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the</w:t>
      </w:r>
      <w:proofErr w:type="spellEnd"/>
      <w:r w:rsidRPr="00095E24">
        <w:rPr>
          <w:spacing w:val="20"/>
        </w:rPr>
        <w:t xml:space="preserve"> use of </w:t>
      </w:r>
      <w:proofErr w:type="spellStart"/>
      <w:r w:rsidRPr="00095E24">
        <w:rPr>
          <w:spacing w:val="20"/>
        </w:rPr>
        <w:t>GenAI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and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the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CDC's</w:t>
      </w:r>
      <w:proofErr w:type="spellEnd"/>
      <w:r w:rsidRPr="00095E24">
        <w:rPr>
          <w:spacing w:val="20"/>
        </w:rPr>
        <w:t xml:space="preserve"> review </w:t>
      </w:r>
      <w:proofErr w:type="spellStart"/>
      <w:r w:rsidRPr="00095E24">
        <w:rPr>
          <w:spacing w:val="20"/>
        </w:rPr>
        <w:t>process</w:t>
      </w:r>
      <w:proofErr w:type="spellEnd"/>
      <w:r w:rsidRPr="00095E24">
        <w:rPr>
          <w:spacing w:val="20"/>
        </w:rPr>
        <w:t xml:space="preserve"> points </w:t>
      </w:r>
      <w:proofErr w:type="spellStart"/>
      <w:r w:rsidRPr="00095E24">
        <w:rPr>
          <w:spacing w:val="20"/>
        </w:rPr>
        <w:t>to</w:t>
      </w:r>
      <w:proofErr w:type="spellEnd"/>
      <w:r w:rsidRPr="00095E24">
        <w:rPr>
          <w:spacing w:val="20"/>
        </w:rPr>
        <w:t xml:space="preserve"> a </w:t>
      </w:r>
      <w:proofErr w:type="spellStart"/>
      <w:r w:rsidRPr="00095E24">
        <w:rPr>
          <w:spacing w:val="20"/>
        </w:rPr>
        <w:t>burgeoning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challenge</w:t>
      </w:r>
      <w:proofErr w:type="spellEnd"/>
      <w:r w:rsidRPr="00095E24">
        <w:rPr>
          <w:spacing w:val="20"/>
        </w:rPr>
        <w:t xml:space="preserve">: </w:t>
      </w:r>
      <w:proofErr w:type="spellStart"/>
      <w:r w:rsidRPr="00095E24">
        <w:rPr>
          <w:spacing w:val="20"/>
        </w:rPr>
        <w:t>maintaining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accuracy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and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quality</w:t>
      </w:r>
      <w:proofErr w:type="spellEnd"/>
      <w:r w:rsidRPr="00095E24">
        <w:rPr>
          <w:spacing w:val="20"/>
        </w:rPr>
        <w:t xml:space="preserve"> in </w:t>
      </w:r>
      <w:proofErr w:type="spellStart"/>
      <w:r w:rsidRPr="00095E24">
        <w:rPr>
          <w:spacing w:val="20"/>
        </w:rPr>
        <w:t>digitally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generated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content</w:t>
      </w:r>
      <w:proofErr w:type="spellEnd"/>
      <w:r w:rsidRPr="00095E24">
        <w:rPr>
          <w:spacing w:val="20"/>
        </w:rPr>
        <w:t xml:space="preserve">. In healthcare, </w:t>
      </w:r>
      <w:proofErr w:type="spellStart"/>
      <w:r w:rsidRPr="00095E24">
        <w:rPr>
          <w:spacing w:val="20"/>
        </w:rPr>
        <w:t>where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trust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is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paramount</w:t>
      </w:r>
      <w:proofErr w:type="spellEnd"/>
      <w:r w:rsidRPr="00095E24">
        <w:rPr>
          <w:spacing w:val="20"/>
        </w:rPr>
        <w:t xml:space="preserve">, </w:t>
      </w:r>
      <w:proofErr w:type="spellStart"/>
      <w:r w:rsidRPr="00095E24">
        <w:rPr>
          <w:spacing w:val="20"/>
        </w:rPr>
        <w:t>exploring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methods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to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transparently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indicate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and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verify</w:t>
      </w:r>
      <w:proofErr w:type="spellEnd"/>
      <w:r w:rsidRPr="00095E24">
        <w:rPr>
          <w:spacing w:val="20"/>
        </w:rPr>
        <w:t xml:space="preserve"> AI-</w:t>
      </w:r>
      <w:proofErr w:type="spellStart"/>
      <w:r w:rsidRPr="00095E24">
        <w:rPr>
          <w:spacing w:val="20"/>
        </w:rPr>
        <w:t>generated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images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could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foster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better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patient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understanding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and</w:t>
      </w:r>
      <w:proofErr w:type="spellEnd"/>
      <w:r w:rsidRPr="00095E24">
        <w:rPr>
          <w:spacing w:val="20"/>
        </w:rPr>
        <w:t xml:space="preserve"> compliance. </w:t>
      </w:r>
      <w:proofErr w:type="spellStart"/>
      <w:r w:rsidRPr="00095E24">
        <w:rPr>
          <w:spacing w:val="20"/>
        </w:rPr>
        <w:t>This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extends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beyond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growth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charts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to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all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forms</w:t>
      </w:r>
      <w:proofErr w:type="spellEnd"/>
      <w:r w:rsidRPr="00095E24">
        <w:rPr>
          <w:spacing w:val="20"/>
        </w:rPr>
        <w:t xml:space="preserve"> of medical </w:t>
      </w:r>
      <w:proofErr w:type="spellStart"/>
      <w:r w:rsidRPr="00095E24">
        <w:rPr>
          <w:spacing w:val="20"/>
        </w:rPr>
        <w:t>visualization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and</w:t>
      </w:r>
      <w:proofErr w:type="spellEnd"/>
      <w:r w:rsidRPr="00095E24">
        <w:rPr>
          <w:spacing w:val="20"/>
        </w:rPr>
        <w:t xml:space="preserve"> </w:t>
      </w:r>
      <w:proofErr w:type="spellStart"/>
      <w:r w:rsidRPr="00095E24">
        <w:rPr>
          <w:spacing w:val="20"/>
        </w:rPr>
        <w:t>education</w:t>
      </w:r>
      <w:proofErr w:type="spellEnd"/>
      <w:r w:rsidRPr="00095E24">
        <w:rPr>
          <w:spacing w:val="20"/>
        </w:rPr>
        <w:t>.</w:t>
      </w:r>
    </w:p>
    <w:p w14:paraId="78C82634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316E8610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04:08</w:t>
      </w:r>
    </w:p>
    <w:p w14:paraId="32259C45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7819E050" w14:textId="32CB0904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 xml:space="preserve">Como a análise comparativa dos percentis da OMS, </w:t>
      </w:r>
      <w:proofErr w:type="spellStart"/>
      <w:r w:rsidRPr="00095E24">
        <w:rPr>
          <w:spacing w:val="20"/>
        </w:rPr>
        <w:t>IOTF</w:t>
      </w:r>
      <w:proofErr w:type="spellEnd"/>
      <w:r w:rsidRPr="00095E24">
        <w:rPr>
          <w:spacing w:val="20"/>
        </w:rPr>
        <w:t xml:space="preserve"> e CDC pode refinar as estratégias de intervenção em saúde pública?</w:t>
      </w:r>
    </w:p>
    <w:p w14:paraId="13BF485D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 xml:space="preserve">A análise comparativa entre os padrões de IMC da OMS, </w:t>
      </w:r>
      <w:proofErr w:type="spellStart"/>
      <w:r w:rsidRPr="00095E24">
        <w:rPr>
          <w:spacing w:val="20"/>
        </w:rPr>
        <w:t>IOTF</w:t>
      </w:r>
      <w:proofErr w:type="spellEnd"/>
      <w:r w:rsidRPr="00095E24">
        <w:rPr>
          <w:spacing w:val="20"/>
        </w:rPr>
        <w:t xml:space="preserve"> e CDC, ao revelar nuances nas classificações de peso, oferece uma oportunidade única para adaptar as estratégias de saúde pública. Compreender as diferenças metodológicas e populacionais subjacentes a cada conjunto de padrões pode levar a intervenções mais eficazes, direcionadas às necessidades específicas de diferentes grupos etários e demográficos. Essa abordagem refinada poderia otimizar a alocação de recursos e aumentar o impacto das iniciativas de promoção da saúde e prevenção de doenças relacionadas ao peso.</w:t>
      </w:r>
    </w:p>
    <w:p w14:paraId="2C47CF75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59EE93C5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04:08</w:t>
      </w:r>
    </w:p>
    <w:p w14:paraId="03521F7F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30A7C55C" w14:textId="5A9E3B34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a personalização dos cuidados de saúde pode maximizar a longevidade?</w:t>
      </w:r>
    </w:p>
    <w:p w14:paraId="2F4B1744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A crescente disponibilidade de dados genéticos e de estilo de vida abre portas para uma abordagem mais personalizada dos cuidados de saúde. Em vez de seguir recomendações genéricas, poderíamos ajustar os planos de dieta, exercício e prevenção de doenças com base no perfil único de cada indivíduo. Isso não só otimiza os benefícios dos cuidados, mas também poderia aumentar significativamente a adesão a longo prazo, impactando positivamente a longevidade com vigor juvenil.</w:t>
      </w:r>
    </w:p>
    <w:p w14:paraId="6EC8520F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1600F8CC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04:08</w:t>
      </w:r>
    </w:p>
    <w:p w14:paraId="07F1402E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3E555A97" w14:textId="3D4B2C5A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a adaptação personalizada de hábitos saudáveis pode maximizar o potencial de longevidade?</w:t>
      </w:r>
    </w:p>
    <w:p w14:paraId="6B811A56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A sugestão de adaptar as recomendações gerais de saúde e bem-estar à própria realidade pode ser revolucionária. Em vez de prescrever abordagens universais, focar na personalização dos cuidados, levando em consideração fatores genéticos, culturais e ambientais específicos de cada indivíduo, pode abrir novas avenidas na pesquisa da longevidade. Explorar como diferentes adaptações impactam os resultados de saúde a longo prazo poderia otimizar as estratégias de promoção da longevidade de forma muito mais eficaz.</w:t>
      </w:r>
    </w:p>
    <w:p w14:paraId="52DC3A05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65AAB77E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04:08</w:t>
      </w:r>
    </w:p>
    <w:p w14:paraId="08CD2F7D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614E4945" w14:textId="5C000BAF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podemos personalizar intervenções de estilo de vida para maximizar a longevidade em diferentes grupos demográficos?</w:t>
      </w:r>
    </w:p>
    <w:p w14:paraId="135DB682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O estudo destaca a influência significativa dos hábitos de vida na longevidade, sugerindo que intervenções personalizadas, considerando fatores como idade, gênero e condições preexistentes, poderiam otimizar os resultados. Explorar estratégias de intervenção personalizadas, baseadas em dados demográficos e de saúde individuais, poderia revolucionar a abordagem da promoção da longevidade, tornando-a mais eficaz e acessível.</w:t>
      </w:r>
    </w:p>
    <w:p w14:paraId="0D2F55EC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6BFFF727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04:08</w:t>
      </w:r>
    </w:p>
    <w:p w14:paraId="4A5F2AE4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55B98AC1" w14:textId="283312A6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a combinação de dados antropométricos e nível de escolaridade pode refinar a avaliação nutricional e promover intervenções mais eficazes em idosos?</w:t>
      </w:r>
    </w:p>
    <w:p w14:paraId="4A0CE40E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A inclusão do nível de escolaridade nas equações de estimativa da estatura, como demonstrado no estudo de Najas (1995), sugere que fatores socioeconômicos e cognitivos podem influenciar o estado nutricional e a composição corporal. Explorar essa interconexão poderia levar a abordagens de avaliação mais holísticas e intervenções nutricionais personalizadas que considerem não apenas as necessidades físicas, mas também o contexto social e cognitivo dos idosos, potencialmente melhorando a adesão e a eficácia dos cuidados.</w:t>
      </w:r>
    </w:p>
    <w:p w14:paraId="6B95D409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6DF44D23" w14:textId="77777777" w:rsidR="00095E24" w:rsidRPr="00095E24" w:rsidRDefault="00095E24" w:rsidP="00095E24">
      <w:pPr>
        <w:pBdr>
          <w:bottom w:val="double" w:sz="6" w:space="1" w:color="auto"/>
        </w:pBdr>
        <w:spacing w:after="240" w:line="360" w:lineRule="auto"/>
        <w:rPr>
          <w:spacing w:val="20"/>
        </w:rPr>
      </w:pPr>
      <w:r w:rsidRPr="00095E24">
        <w:rPr>
          <w:spacing w:val="20"/>
        </w:rPr>
        <w:t>2025.06.29 04:08</w:t>
      </w:r>
    </w:p>
    <w:p w14:paraId="0CF1F390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504018E5" w14:textId="21AD35B4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Como podemos transcender as limitações do IMC para uma avaliação holística da saúde do idoso?</w:t>
      </w:r>
    </w:p>
    <w:p w14:paraId="4607F9A9" w14:textId="77777777" w:rsidR="00095E24" w:rsidRPr="00095E24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O artigo demonstra que o IMC, embora útil, possui limitações significativas na avaliação do estado nutricional de idosos. A inspiração aqui reside em explorar métodos complementares e inovadores que capturem a complexidade da composição corporal e da distribuição de gordura em idosos. Isso poderia envolver a integração de tecnologias de imagem avançadas, análise de biomarcadores metabólicos e genéticos, e avaliação da capacidade funcional, resultando em um painel abrangente que prediz a longevidade e o vigor juvenil de forma mais precisa do que o IMC isoladamente. Essa abordagem holística abriria caminhos para intervenções personalizadas e mais eficazes, focadas na promoção da saúde e prevenção de doenças relacionadas ao envelhecimento.</w:t>
      </w:r>
    </w:p>
    <w:p w14:paraId="3B019486" w14:textId="77777777" w:rsidR="00095E24" w:rsidRPr="00095E24" w:rsidRDefault="00095E24" w:rsidP="00095E24">
      <w:pPr>
        <w:spacing w:after="240" w:line="360" w:lineRule="auto"/>
        <w:rPr>
          <w:bCs/>
          <w:spacing w:val="20"/>
        </w:rPr>
      </w:pPr>
      <w:r w:rsidRPr="00095E24">
        <w:rPr>
          <w:bCs/>
          <w:spacing w:val="20"/>
        </w:rPr>
        <w:t>AI</w:t>
      </w:r>
    </w:p>
    <w:p w14:paraId="07E7F736" w14:textId="3919A57E" w:rsidR="00EF34F3" w:rsidRDefault="00095E24" w:rsidP="00095E24">
      <w:pPr>
        <w:spacing w:after="240" w:line="360" w:lineRule="auto"/>
        <w:rPr>
          <w:spacing w:val="20"/>
        </w:rPr>
      </w:pPr>
      <w:r w:rsidRPr="00095E24">
        <w:rPr>
          <w:spacing w:val="20"/>
        </w:rPr>
        <w:t>2025.06.29 04:08</w:t>
      </w:r>
    </w:p>
    <w:p w14:paraId="095E205A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0FEBF960" w14:textId="3E5C0551" w:rsidR="00CC00B5" w:rsidRDefault="00CC00B5" w:rsidP="00095E24">
      <w:pPr>
        <w:pBdr>
          <w:top w:val="double" w:sz="6" w:space="1" w:color="auto"/>
          <w:bottom w:val="double" w:sz="6" w:space="1" w:color="auto"/>
        </w:pBdr>
        <w:spacing w:after="240" w:line="360" w:lineRule="auto"/>
        <w:rPr>
          <w:spacing w:val="20"/>
        </w:rPr>
      </w:pPr>
    </w:p>
    <w:p w14:paraId="269F0A54" w14:textId="77777777" w:rsidR="00CC00B5" w:rsidRDefault="00CC00B5" w:rsidP="00095E24">
      <w:pPr>
        <w:spacing w:after="240" w:line="360" w:lineRule="auto"/>
        <w:rPr>
          <w:spacing w:val="20"/>
        </w:rPr>
      </w:pPr>
    </w:p>
    <w:p w14:paraId="147265A9" w14:textId="77777777" w:rsidR="00CC00B5" w:rsidRPr="00095E24" w:rsidRDefault="00CC00B5" w:rsidP="00095E24">
      <w:pPr>
        <w:spacing w:after="240" w:line="360" w:lineRule="auto"/>
        <w:rPr>
          <w:spacing w:val="20"/>
        </w:rPr>
      </w:pPr>
    </w:p>
    <w:sectPr w:rsidR="00CC00B5" w:rsidRPr="00095E24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6FF2"/>
    <w:multiLevelType w:val="multilevel"/>
    <w:tmpl w:val="AAC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87BAD"/>
    <w:multiLevelType w:val="multilevel"/>
    <w:tmpl w:val="B842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26964"/>
    <w:multiLevelType w:val="multilevel"/>
    <w:tmpl w:val="CCAC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A3ACE"/>
    <w:multiLevelType w:val="multilevel"/>
    <w:tmpl w:val="7650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578EC"/>
    <w:multiLevelType w:val="multilevel"/>
    <w:tmpl w:val="78AE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36027">
    <w:abstractNumId w:val="2"/>
  </w:num>
  <w:num w:numId="2" w16cid:durableId="1006130600">
    <w:abstractNumId w:val="3"/>
  </w:num>
  <w:num w:numId="3" w16cid:durableId="187454019">
    <w:abstractNumId w:val="4"/>
  </w:num>
  <w:num w:numId="4" w16cid:durableId="1256094812">
    <w:abstractNumId w:val="1"/>
  </w:num>
  <w:num w:numId="5" w16cid:durableId="54822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7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24"/>
    <w:rsid w:val="00043E04"/>
    <w:rsid w:val="00055F38"/>
    <w:rsid w:val="00084099"/>
    <w:rsid w:val="00095E24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3130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342EB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CC00B5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00E9"/>
  <w15:chartTrackingRefBased/>
  <w15:docId w15:val="{E35934E2-C3D2-4B8B-926D-6EB9DE7C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5E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5E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5E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5E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5E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5E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5E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5E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5E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5E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5E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5E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5E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5E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5E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5E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5E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5E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5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5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5E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5E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342E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2E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42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78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59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074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4175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87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10923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00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95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44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17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6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386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74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092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618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2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80516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850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73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397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50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5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1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85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98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904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143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292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81138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310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21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8684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215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4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324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14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1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413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274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04101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5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458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229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870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8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5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522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044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29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8348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2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37039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98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32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332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91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755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25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43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642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659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78989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501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459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3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6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078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7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43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676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718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55119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83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359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784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030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7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8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952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74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23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709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80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940506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36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2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957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653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2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0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29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35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624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877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681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76894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00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848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556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463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2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02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5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06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97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88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51830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15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59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7640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83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1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6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906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747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54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406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3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32507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17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245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338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173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592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03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72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6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21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907415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9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51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57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4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98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1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69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49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588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402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658184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65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388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263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3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958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4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771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4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546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676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739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086263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7374664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956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9697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8610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8043742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54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71316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40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574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8926462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2584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4629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6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417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123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658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524256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1958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601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86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9595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8897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2217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40045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7535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8622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98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5263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5790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642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77059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6021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61271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65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5830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6815762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9411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13787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8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00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037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0994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950338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92036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1107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2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94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551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7124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0453550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96105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6461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9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48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529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2967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377707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6351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33676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13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606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781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6337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07890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5222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0659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21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9585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749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578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060112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5353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4677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6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2242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32662950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8849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13328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7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8302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0796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6360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189734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9058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4664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61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7448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6720108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8943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82609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8099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85898726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5325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1688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2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792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89590088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2450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3000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5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57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0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78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80725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342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53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6" w:color="E5E7EB"/>
                      </w:divBdr>
                      <w:divsChild>
                        <w:div w:id="12443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72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99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822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13583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12" w:color="E5E7EB"/>
                                            <w:left w:val="single" w:sz="2" w:space="15" w:color="E5E7EB"/>
                                            <w:bottom w:val="single" w:sz="2" w:space="12" w:color="E5E7EB"/>
                                            <w:right w:val="single" w:sz="2" w:space="15" w:color="E5E7EB"/>
                                          </w:divBdr>
                                          <w:divsChild>
                                            <w:div w:id="63730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5062231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356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8275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8" w:color="E5E7EB"/>
                                                            <w:left w:val="single" w:sz="2" w:space="9" w:color="E5E7EB"/>
                                                            <w:bottom w:val="single" w:sz="2" w:space="8" w:color="E5E7EB"/>
                                                            <w:right w:val="single" w:sz="2" w:space="9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28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36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65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9080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2800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3525176">
                                                      <w:marLeft w:val="-9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8991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396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447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538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5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27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4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873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647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342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42784581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7826946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6092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61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0555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81463453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1267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4662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91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133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20323248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00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5539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59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1424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360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6827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652169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4700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30042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1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9197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4422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227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4045897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651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46571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3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213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4197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1620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15908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5783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3427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3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191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1259655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4921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212064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4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49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166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2929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2693953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37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26584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8481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2036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38425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06905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5838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9589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52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974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8946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4738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960593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2995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42633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9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6717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0590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4789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496770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6656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5727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1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838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7548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442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703575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6951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83932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33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0788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89001562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2364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6097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96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330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0892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9617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6844251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4527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0713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66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238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85754979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8948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86621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40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49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74683852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731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53616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4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16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14417089">
                                                      <w:marLeft w:val="8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5E7EB"/>
                                                        <w:left w:val="single" w:sz="2" w:space="0" w:color="E5E7EB"/>
                                                        <w:bottom w:val="single" w:sz="2" w:space="2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9518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8070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7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05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62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8309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7487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881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6" w:color="E5E7EB"/>
                      </w:divBdr>
                      <w:divsChild>
                        <w:div w:id="780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022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764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617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657469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12" w:color="E5E7EB"/>
                                            <w:left w:val="single" w:sz="2" w:space="15" w:color="E5E7EB"/>
                                            <w:bottom w:val="single" w:sz="2" w:space="12" w:color="E5E7EB"/>
                                            <w:right w:val="single" w:sz="2" w:space="15" w:color="E5E7EB"/>
                                          </w:divBdr>
                                          <w:divsChild>
                                            <w:div w:id="8202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2394358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1023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258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8" w:color="E5E7EB"/>
                                                            <w:left w:val="single" w:sz="2" w:space="9" w:color="E5E7EB"/>
                                                            <w:bottom w:val="single" w:sz="2" w:space="8" w:color="E5E7EB"/>
                                                            <w:right w:val="single" w:sz="2" w:space="9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00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660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0697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9709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58907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021137">
                                                      <w:marLeft w:val="-9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1447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1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586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54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38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846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696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9035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097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3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2671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77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0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0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5339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78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85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9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4398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484934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49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20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4510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11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8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772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794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041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172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898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70837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00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145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923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5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667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678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723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985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8343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94819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31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43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2205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327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762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53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24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1874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4584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696537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57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74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122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68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4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82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30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73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7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826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187481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9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87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499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4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712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76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8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664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964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031153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24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38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0910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91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0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83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5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60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870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319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2053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45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537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3931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51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5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6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090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68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38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146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876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786305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51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67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111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8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956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5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92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079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36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132282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76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05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5277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147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2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01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04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62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397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272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563877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44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79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501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9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8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556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91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65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9032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1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239409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13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94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577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262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551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43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05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47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535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559293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33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0346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hasdecuidado.saude.gov.br/portal/obesidade-no-adulto/unidade-de-pronto-atendimento/definicao-obesidade-no-adult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vsms.saude.gov.br/bvs/dicas/215_obesidade.html" TargetMode="External"/><Relationship Id="rId12" Type="http://schemas.openxmlformats.org/officeDocument/2006/relationships/hyperlink" Target="https://www.scielo.br/j/rbgg/a/dXDsmQbfcFtL9qLkmj9jxQr/?format=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bnet.datasus.gov.br/cgi/SISVAN/CNV/notas_sisvan.html" TargetMode="External"/><Relationship Id="rId11" Type="http://schemas.openxmlformats.org/officeDocument/2006/relationships/hyperlink" Target="https://www.omnicalculator.com/pt/saude/calculadora-imc-geriatrico" TargetMode="External"/><Relationship Id="rId5" Type="http://schemas.openxmlformats.org/officeDocument/2006/relationships/hyperlink" Target="https://abran.org.br/calculadoras/imc-infantil" TargetMode="External"/><Relationship Id="rId10" Type="http://schemas.openxmlformats.org/officeDocument/2006/relationships/hyperlink" Target="https://www.rmmg.org/artigo/detalhes/13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https://institutodelongevidade.org/longevidade-e-saude/saude-fisica/peso-ideal-muda-depois-dos-60-an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2124</Words>
  <Characters>11471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2025-06-29T08:49:00Z</dcterms:created>
  <dcterms:modified xsi:type="dcterms:W3CDTF">2025-06-29T14:01:00Z</dcterms:modified>
</cp:coreProperties>
</file>