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MIM V3 — test case TC-04: investigate INC2667546 on Automated Claim Transaction PROD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23 Oct 2026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MIM V3, Kibana 9.5.3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Show that an application-service CI (not itself a server) is still fully investigable: section 2's CMDB links work, and Application Health resolves for the CI even before any server or service is picked — then confirm that picking one of its related servers and its APM service fills the rest of section 3.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 this incident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Round 15's pick for TC-04 (queries_ro_run.md). Automated Claim Transaction PROD is a Mapped Application Service, still active since 21 Oct with 14 open incidents on it.</w:t>
            </w:r>
          </w:p>
        </w:tc>
      </w:tr>
      <w:tr>
        <w:tc>
          <w:tcPr>
            <w:tcW w:type="dxa" w:w="24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69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Pass. Section 2 fully populated from the CMDB; Application Health resolved the CI on its own via its registered APM number; picking the related server vslrau1p276 and service clmact filled every remaining section 3 panel.</w:t>
            </w:r>
          </w:p>
        </w:tc>
      </w:tr>
    </w:tbl>
    <w:p>
      <w:pPr>
        <w:pStyle w:val="Heading2"/>
        <w:spacing w:after="120" w:before="260"/>
      </w:pPr>
      <w:r>
        <w:t xml:space="preserve">How this differs from TC-01 and TC-02</w:t>
      </w:r>
    </w:p>
    <w:p>
      <w:pPr>
        <w:spacing w:after="160"/>
      </w:pPr>
      <w:r>
        <w:t xml:space="preserve">TC-01 used a CI that is itself a server with APM on it. TC-02 (scaffolded, pending) uses a server with no APM. This test uses a CI that is an application service — not a server at all — which is the most common shape for an incident in this estate (most active P1–P3 incidents sit on Mapped/Calculated/Tag-based application services, per Round 13-15).</w:t>
      </w:r>
    </w:p>
    <w:p>
      <w:pPr>
        <w:spacing w:after="160"/>
      </w:pPr>
      <w:r>
        <w:t xml:space="preserve">The walkthrough was captured in two phases: first with nothing picked in the Server, Service or Application controls (to see what resolves on its own), then with a server and service picked from the CMDB relationships found in section 2.</w:t>
      </w:r>
    </w:p>
    <w:p>
      <w:pPr>
        <w:pStyle w:val="Heading2"/>
        <w:spacing w:after="120" w:before="260"/>
      </w:pPr>
      <w:r>
        <w:t xml:space="preserve">Test flow</w:t>
      </w:r>
    </w:p>
    <w:p>
      <w:pPr>
        <w:spacing w:after="160"/>
      </w:pPr>
      <w:r>
        <w:t xml:space="preserve">The path this test actually followed, reconstructed from the screenshots. Green boxes are what was observed; amber diamonds are the decision points this test exercises.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Green: the step and its observed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Amber: a decision point.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1808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Test flow for INC2667546</w:t>
      </w:r>
    </w:p>
    <w:p>
      <w:pPr>
        <w:pStyle w:val="Heading2"/>
        <w:spacing w:after="120" w:before="260"/>
      </w:pPr>
      <w: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Incident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INC2667546 · Automated Claim Transaction PROD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The incident under test; its affected CI is an application service, not a server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CI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(no CI selected)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Not needed: the incident's CI always wins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 — phase 1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(no server selected)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To see what resolves without picking one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 — phase 2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vslrau1p276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One of the CMDB-linked servers found in Server View (also runs the CI's own APM service)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Health window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24 hours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 — phase 1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(services on this CI)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Default — finds nothing, since the CI itself has no host.name match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 — phase 2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clmact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The APM service registered against this CI's own APM number</w:t>
            </w:r>
          </w:p>
        </w:tc>
      </w:tr>
      <w:tr>
        <w:tc>
          <w:tcPr>
            <w:tcW w:type="dxa" w:w="1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(all applications)</w:t>
            </w:r>
          </w:p>
        </w:tc>
        <w:tc>
          <w:tcPr>
            <w:tcW w:type="dxa" w:w="4760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Not needed: Application Health resolves the CI directly</w:t>
            </w:r>
          </w:p>
        </w:tc>
      </w:tr>
    </w:tbl>
    <w:p>
      <w:pPr>
        <w:pStyle w:val="Heading1"/>
        <w:spacing w:after="160" w:before="320"/>
      </w:pPr>
      <w:r>
        <w:t xml:space="preserve">Step 1 — Major Incident Overview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the estate-wide picture, unrelated to this CI.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Section 1: controls, donut, time to resolve, active incidents, open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Controls hold the inputs above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Active P1 / P2 / P3: 492 active (P1 0, P2 2, P3 490)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User base · ServiceNow / Real users · RUM: both "In progress"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Active Incidents: INC2667546 appears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Open Alerts with No Incident: several IP Switch / UPS alerts with no ticket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Alerts with No Incident shows several infrastructure alerts (switches, UPS) with no incident raised — a reminder to glance at this table even when focused on one CI.</w:t>
      </w:r>
    </w:p>
    <w:p>
      <w:pPr>
        <w:pStyle w:val="Heading1"/>
        <w:spacing w:after="160" w:before="320"/>
      </w:pPr>
      <w:r>
        <w:t xml:space="preserve">Step 2 — Escalate, Changes and Alerts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who owns this CI, and whether anything changed or alerted recently.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Escalate, Changes in the Last 7 Days, Alerts on this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Escalate: Automated Claim Transaction PROD · INC2667546 · P3 · Mapped Application Service · prod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Assignment Group IT.A.ACT, Assignee Shrushti Yemle, Manager Richard O’Connell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CI support group: blank (—)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(gap, not a bug)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Changes in the Last 7 Days: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none on this CI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Alerts on this CI: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none on this CI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found the assignee and manager from ServiceNow without needing a server or application to be picked.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 support group is blank for this CI — a data-quality gap in ServiceNow, not a dashboard defect.</w:t>
      </w:r>
    </w:p>
    <w:p>
      <w:pPr>
        <w:pStyle w:val="Heading1"/>
        <w:spacing w:after="160" w:before="320"/>
      </w:pPr>
      <w:r>
        <w:t xml:space="preserve">Step 3 — The CI’s relationships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the CMDB links around this application service: what it depends on and what runs it.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Blast radius, Applications related to this CI, Middleware View, Database View, Server View, Other related CIs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Blast radius: 29 (1 business application, 29 of 29 app services counted)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Applications related to this CI: Automated Claim Transaction (business app), CICS PROD, COVERS PROD, Cadency PROD, Claim Center PROD …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Middleware View: 2 Tomcat instances on vslrau1p276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Database View: many Database Instances (DB2, Oracle) it depends on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 View: 6 related servers — sch1h020 (AIX), vslrau1p174 / vslrau1p276 (Linux), CNA1BSYS (Mainframe LPAR), 2 retired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Other related CIs: 55 pages of batch jobs it uses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step that supplies the server picked in phase 2: Server View lists vslrau1p276 as one of the servers this application service runs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View also shows two retired CIs (an HP-UX server and a Windows server), marked as such — old infrastructure the CI once ran on.</w:t>
      </w:r>
    </w:p>
    <w:p>
      <w:pPr>
        <w:pStyle w:val="Heading1"/>
        <w:spacing w:after="160" w:before="320"/>
      </w:pPr>
      <w:r>
        <w:t xml:space="preserve">Step 4 — Application health, before picking a server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whether section 3 can say anything about this CI before any server or service is chosen.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Section 3, phase 1: controls (nothing picked), Application Health, and everything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Application Health: Automated Claim Transaction, Degraded, 7 services (0 failing, 2 degraded), 3.3 % worst service, 1.9 % app error rate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Servers column shows clmact-acct-fileout-5765c5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(see note)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Services of the Application: the estate-wide worst-first list (Service control still on default)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Upstream, Service health, Downstream: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 (no Service picked)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Middleware / Database / Server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expected (no Server picked)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key finding of this test case: Application Health resolved the CI on its own, with nothing picked in the Server, Service or Application controls, because the CI is linked to a business application and that application carries an APM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value in the Servers column (clmact-acct-fileout-5765c5) is a Kubernetes-style pod name, not a traditional hostname — the same pattern seen in TC-06. It will not appear in the Server control’s list.</w:t>
      </w:r>
    </w:p>
    <w:p>
      <w:pPr>
        <w:pStyle w:val="Heading1"/>
        <w:spacing w:after="160" w:before="320"/>
      </w:pPr>
      <w:r>
        <w:t xml:space="preserve">Step 5 — Picking the server and service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whether section 3 fills in once a related server and its APM service are picked.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Section 3, phase 2: Server = vslrau1p276, Service = clmact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Application Health, Services of the Application, Upstream, Service health, Downstream, with the server picked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Services of the Application: narrows to clmact’s own 7 services (clmact-fin-subs, clmact-pymt-subs, clmact, clmact-acct-fileout, clmact-contact, clmact-db-api, clmact-event-gen)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Upstream — what they depend on: db2 (461 calls, Healthy), cna.okta.com:443 (108 calls, Healthy)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Service health: clmact, 0.0 % failed transactions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Downstream — who is impacted: 1 failing caller, covers-stat-coding-service (52 calls)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a real finding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Middleware Health: 4 JBoss instances on vslrau1p276, all Healthy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Server Health: vslrau1p276, Reporting, CPU 6.0 %, memory 31.2 %, disk 71.0 %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Database Health: empty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— no database on this server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Picking Server = vslrau1p276 and Service = clmact (the application’s own APM service name) filled every panel that was empty in Step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Downstream found one real failing caller: covers-stat-coding-service. This is the signal worth chasing during an actual incident.</w:t>
      </w:r>
    </w:p>
    <w:p>
      <w:pPr>
        <w:pStyle w:val="Heading1"/>
        <w:spacing w:after="160" w:before="320"/>
      </w:pPr>
      <w:r>
        <w:t xml:space="preserve">Step 6 — The server’s remaining health panels and logs</w:t>
      </w:r>
    </w:p>
    <w:p>
      <w:pPr>
        <w:spacing w:after="160"/>
      </w:pPr>
      <w:r>
        <w:rPr>
          <w:b/>
          <w:bCs/>
        </w:rPr>
        <w:t xml:space="preserve">What to show: </w:t>
      </w:r>
      <w:r>
        <w:t xml:space="preserve">APM, process and log-level detail for vslrau1p276.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6"/>
          <w:sz w:val="18"/>
          <w:szCs w:val="18"/>
        </w:rPr>
        <w:t xml:space="preserve">APM Services Health, Process Health, Synthetics Health, Errors from the Logs, Business applications impacted, Related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5"/>
        <w:gridCol w:w="2995"/>
      </w:tblGrid>
      <w:tr>
        <w:trPr>
          <w:tblHeader/>
        </w:trP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Check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d253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APM Services Health: clmact, data 0 min ago, APM · runs on this server, prd1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Process Health: 4 JBoss / middleware processes, all Running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Synthetics Health: 1 ping monitor, Up, 1,439 checks, 0 down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Errors from the Logs: critical sudo / sshd errors and recurring PAM errors on vslrau1p276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36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Business applications impacted: COVERS, Failing, 17.3 % error, 1 service, caller covers-stat-coding-service</w:t>
            </w:r>
          </w:p>
        </w:tc>
        <w:tc>
          <w:tcPr>
            <w:tcW w:type="dxa" w:w="2995"/>
            <w:tcBorders>
              <w:top w:val="single" w:color="c9d2db" w:sz="2"/>
              <w:left w:val="single" w:color="c9d2db" w:sz="2"/>
              <w:bottom w:val="single" w:color="c9d2db" w:sz="2"/>
              <w:right w:val="single" w:color="c9d2db" w:sz="2"/>
            </w:tcBorders>
            <w:shd w:fill="e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d2530"/>
                <w:sz w:val="19"/>
                <w:szCs w:val="19"/>
              </w:rPr>
              <w:t xml:space="preserve">Pass (see observation below)</w:t>
            </w:r>
          </w:p>
        </w:tc>
      </w:tr>
    </w:tbl>
    <w:p>
      <w:pPr>
        <w:spacing w:after="160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Errors from the Logs and Business applications impacted both point at the same thing from different angles: covers-stat-coding-service is failing when it calls this CI, and COVERS (its business application) is the one to tell.</w:t>
      </w:r>
    </w:p>
    <w:p>
      <w:pPr>
        <w:pStyle w:val="Heading1"/>
        <w:spacing w:after="160" w:before="320"/>
      </w:pPr>
      <w:r>
        <w:t xml:space="preserve">Outcome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CI resolves to a Healthy/Degraded reading and a named owner with nothing picked, because Application Health finds it through its CMDB business-application link and its own APM number — an application-service incident does not need a server pick to start the investigation.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Picking the related server (vslrau1p276, found in Server View) and the CI's own APM service (clmact) fills in the server, middleware, process and dependency panels, confirming the TC-05 precedence path from the test-case catalog.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finding: covers-stat-coding-service is failing when it calls this CI’s clmact service, and that traces back to the COVERS business application — the concrete next step for an on-call engineer.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to Shrushti Yemle, then Richard O’Connell.</w:t>
      </w:r>
    </w:p>
    <w:p>
      <w:pPr>
        <w:pStyle w:val="Heading1"/>
        <w:spacing w:after="160" w:before="320"/>
      </w:pPr>
      <w:r>
        <w:t xml:space="preserve">Observations to follow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cluster that produced these screenshots is running an older copy of the dashboard: SLO Error Burn Rate and Business applications impacted both still appear, although both were removed from MIM V3.ndjson on 20 Oct (round 20q). Re-import the latest MIM V3.ndjson with overwrite and use More → Reset changes to pick up that change — after that, Business applications impacted will no longer be a panel to check in future walkthroughs (Downstream already names the same caller).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Application Health “Servers” column can show a Kubernetes pod name instead of a hostname. That value is never going to appear in the Server control’s list — the CMDB-linked server (vslrau1p276, found via Server View) is the one to actually pick.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Escalate’s CI support group was blank for this CI — a ServiceNow data-quality gap, not a dashboard defect, but worth flagging to the team that owns CMDB data quality.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b/>
      <w:bCs/>
      <w:color w:val="1d253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9d2db" w:sz="4" w:space="4"/>
      </w:pBdr>
      <w:spacing w:after="140" w:before="320"/>
    </w:pPr>
    <w:rPr>
      <w:b/>
      <w:bCs/>
      <w:color w:val="1d253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d25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e051dd1d81d907813ff8afbc06b9b55316bb22.png"/><Relationship Id="rId8" Type="http://schemas.openxmlformats.org/officeDocument/2006/relationships/image" Target="media/5c6c8d120635de9b9d112c1b2aef71d01fb5cca7.png"/><Relationship Id="rId9" Type="http://schemas.openxmlformats.org/officeDocument/2006/relationships/image" Target="media/2b7feddc8938d2df83d132e33d6ca3ca4ab6b105.png"/><Relationship Id="rId10" Type="http://schemas.openxmlformats.org/officeDocument/2006/relationships/image" Target="media/8fb29583e9c18e6b34744b92da9718dfbd578cd7.png"/><Relationship Id="rId11" Type="http://schemas.openxmlformats.org/officeDocument/2006/relationships/image" Target="media/e94852275b2a960e728b4e1f5adc91f642cb264a.png"/><Relationship Id="rId12" Type="http://schemas.openxmlformats.org/officeDocument/2006/relationships/image" Target="media/577df9a6b91dd321206f3258df8588774acdf0bb.png"/><Relationship Id="rId13" Type="http://schemas.openxmlformats.org/officeDocument/2006/relationships/image" Target="media/d3e9dd0976904073a0737a72795087f099933d90.png"/><Relationship Id="rId14" Type="http://schemas.openxmlformats.org/officeDocument/2006/relationships/image" Target="media/a67f2464109c9a367021d4b5ae43abe4504d7e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2026-10-23T15:05:54.703Z</dcterms:created>
  <dcterms:modified xsi:type="dcterms:W3CDTF">2026-10-23T15:05:54.703Z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