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BC6E" w14:textId="77777777" w:rsidR="00033373" w:rsidRDefault="00000000">
      <w:pPr>
        <w:spacing w:after="40"/>
        <w:jc w:val="center"/>
      </w:pPr>
      <w:r>
        <w:rPr>
          <w:b/>
          <w:bCs/>
          <w:color w:val="1B3A6B"/>
          <w:sz w:val="36"/>
          <w:szCs w:val="36"/>
        </w:rPr>
        <w:t>MODUPE OLAJUMOKE OWOLABI</w:t>
      </w:r>
    </w:p>
    <w:p w14:paraId="18C07179" w14:textId="77777777" w:rsidR="00033373" w:rsidRDefault="00000000">
      <w:pPr>
        <w:spacing w:after="40"/>
        <w:jc w:val="center"/>
      </w:pPr>
      <w:r>
        <w:rPr>
          <w:color w:val="2E5FAA"/>
          <w:sz w:val="22"/>
          <w:szCs w:val="22"/>
        </w:rPr>
        <w:t>GRC &amp; Information Security Professional</w:t>
      </w:r>
    </w:p>
    <w:p w14:paraId="29CDFA90" w14:textId="1A7CF230" w:rsidR="00033373" w:rsidRDefault="00000000">
      <w:pPr>
        <w:spacing w:after="120"/>
        <w:jc w:val="center"/>
      </w:pPr>
      <w:r>
        <w:rPr>
          <w:color w:val="555566"/>
          <w:sz w:val="17"/>
          <w:szCs w:val="17"/>
        </w:rPr>
        <w:t>olajumokeowolabi.oo@gmail.co</w:t>
      </w:r>
      <w:r w:rsidR="006B55C6">
        <w:rPr>
          <w:color w:val="555566"/>
          <w:sz w:val="17"/>
          <w:szCs w:val="17"/>
        </w:rPr>
        <w:t>m</w:t>
      </w:r>
      <w:r>
        <w:rPr>
          <w:color w:val="555566"/>
          <w:sz w:val="17"/>
          <w:szCs w:val="17"/>
        </w:rPr>
        <w:t xml:space="preserve">   |   linkedin.com/in/</w:t>
      </w:r>
      <w:proofErr w:type="spellStart"/>
      <w:r>
        <w:rPr>
          <w:color w:val="555566"/>
          <w:sz w:val="17"/>
          <w:szCs w:val="17"/>
        </w:rPr>
        <w:t>modupeolajumokeowolabi</w:t>
      </w:r>
      <w:proofErr w:type="spellEnd"/>
      <w:r>
        <w:rPr>
          <w:color w:val="555566"/>
          <w:sz w:val="17"/>
          <w:szCs w:val="17"/>
        </w:rPr>
        <w:t xml:space="preserve">   |   Relocating to the UK</w:t>
      </w:r>
    </w:p>
    <w:p w14:paraId="5E123B5B" w14:textId="77777777" w:rsidR="00033373" w:rsidRDefault="00000000">
      <w:pPr>
        <w:pBdr>
          <w:bottom w:val="single" w:sz="10" w:space="2" w:color="2E5FAA"/>
        </w:pBdr>
        <w:spacing w:before="120" w:after="40"/>
      </w:pPr>
      <w:r>
        <w:rPr>
          <w:b/>
          <w:bCs/>
          <w:color w:val="1B3A6B"/>
          <w:sz w:val="20"/>
          <w:szCs w:val="20"/>
        </w:rPr>
        <w:t>PROFESSIONAL SUMMARY</w:t>
      </w:r>
    </w:p>
    <w:p w14:paraId="7C7BF21D" w14:textId="5762209D" w:rsidR="00033373" w:rsidRDefault="00000000">
      <w:pPr>
        <w:spacing w:before="30" w:after="30"/>
      </w:pPr>
      <w:r>
        <w:t xml:space="preserve">A governance, risk, and compliance professional whose career spans banking security in Nigeria, intergovernmental work at the UN in Germany, and a decade of UK and US consultancy. That breadth is not incidental it shapes how I approach GRC. Having applied GDPR, HIPAA, ISO 27001, NIST, PCI-DSS, and SOC 2 in very different </w:t>
      </w:r>
      <w:r w:rsidR="006B55C6">
        <w:t>organizational</w:t>
      </w:r>
      <w:r>
        <w:t xml:space="preserve"> contexts, I understand that compliance frameworks only deliver value when embedded in how a business </w:t>
      </w:r>
      <w:r w:rsidR="006B55C6">
        <w:t>operates</w:t>
      </w:r>
      <w:r>
        <w:t>.</w:t>
      </w:r>
    </w:p>
    <w:p w14:paraId="3A043D7E" w14:textId="4DDCE5B0" w:rsidR="00033373" w:rsidRDefault="00000000">
      <w:pPr>
        <w:spacing w:before="30" w:after="30"/>
      </w:pPr>
      <w:r>
        <w:t xml:space="preserve">Across consulting roles at Brunel and Keywest, I built ISMS </w:t>
      </w:r>
      <w:proofErr w:type="spellStart"/>
      <w:r>
        <w:t>programmes</w:t>
      </w:r>
      <w:proofErr w:type="spellEnd"/>
      <w:r>
        <w:t xml:space="preserve"> from gap to certification, designed third-party risk workflows, and helped client teams develop compliance habits that outlasted each engagement. At FirstAround, I applied those same principles inside a regulated care </w:t>
      </w:r>
      <w:r w:rsidR="006B55C6">
        <w:t>organization</w:t>
      </w:r>
      <w:r>
        <w:t xml:space="preserve"> where data protection choices directly affected vulnerable people. What connects all of it is a straightforward belief: that good risk governance gives decision-makers clarity, not paperwork.</w:t>
      </w:r>
    </w:p>
    <w:p w14:paraId="4FB7E776" w14:textId="77777777" w:rsidR="00033373" w:rsidRDefault="00000000">
      <w:pPr>
        <w:pBdr>
          <w:bottom w:val="single" w:sz="10" w:space="2" w:color="2E5FAA"/>
        </w:pBdr>
        <w:spacing w:before="120" w:after="40"/>
      </w:pPr>
      <w:r>
        <w:rPr>
          <w:b/>
          <w:bCs/>
          <w:color w:val="1B3A6B"/>
          <w:sz w:val="20"/>
          <w:szCs w:val="20"/>
        </w:rPr>
        <w:t>AREAS OF EXPERTISE</w:t>
      </w:r>
    </w:p>
    <w:p w14:paraId="5D3767CB" w14:textId="77777777" w:rsidR="00033373" w:rsidRDefault="00033373">
      <w:pPr>
        <w:spacing w:before="40" w:after="10"/>
      </w:pPr>
    </w:p>
    <w:tbl>
      <w:tblPr>
        <w:tblW w:w="989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5"/>
        <w:gridCol w:w="4945"/>
      </w:tblGrid>
      <w:tr w:rsidR="00033373" w14:paraId="487115E5" w14:textId="77777777">
        <w:tblPrEx>
          <w:tblCellMar>
            <w:top w:w="0" w:type="dxa"/>
            <w:bottom w:w="0" w:type="dxa"/>
          </w:tblCellMar>
        </w:tblPrEx>
        <w:tc>
          <w:tcPr>
            <w:tcW w:w="4945" w:type="dxa"/>
            <w:tcMar>
              <w:top w:w="25" w:type="dxa"/>
              <w:left w:w="60" w:type="dxa"/>
              <w:bottom w:w="25" w:type="dxa"/>
              <w:right w:w="60" w:type="dxa"/>
            </w:tcMar>
          </w:tcPr>
          <w:p w14:paraId="3195ACFD" w14:textId="77777777" w:rsidR="00033373" w:rsidRDefault="00000000">
            <w:pPr>
              <w:pStyle w:val="ListParagraph"/>
              <w:numPr>
                <w:ilvl w:val="0"/>
                <w:numId w:val="2"/>
              </w:numPr>
              <w:spacing w:before="10" w:after="10"/>
            </w:pPr>
            <w:r>
              <w:rPr>
                <w:sz w:val="17"/>
                <w:szCs w:val="17"/>
              </w:rPr>
              <w:t>ISO 27001 / ISO 27005 &amp; NIST CSF</w:t>
            </w:r>
          </w:p>
        </w:tc>
        <w:tc>
          <w:tcPr>
            <w:tcW w:w="4945" w:type="dxa"/>
            <w:tcMar>
              <w:top w:w="25" w:type="dxa"/>
              <w:left w:w="60" w:type="dxa"/>
              <w:bottom w:w="25" w:type="dxa"/>
              <w:right w:w="60" w:type="dxa"/>
            </w:tcMar>
          </w:tcPr>
          <w:p w14:paraId="561A425F" w14:textId="77777777" w:rsidR="00033373" w:rsidRDefault="00000000">
            <w:pPr>
              <w:pStyle w:val="ListParagraph"/>
              <w:numPr>
                <w:ilvl w:val="0"/>
                <w:numId w:val="2"/>
              </w:numPr>
              <w:spacing w:before="10" w:after="10"/>
            </w:pPr>
            <w:r>
              <w:rPr>
                <w:sz w:val="17"/>
                <w:szCs w:val="17"/>
              </w:rPr>
              <w:t>Information Security Policy Development</w:t>
            </w:r>
          </w:p>
        </w:tc>
      </w:tr>
      <w:tr w:rsidR="00033373" w14:paraId="3B660C5D" w14:textId="77777777">
        <w:tblPrEx>
          <w:tblCellMar>
            <w:top w:w="0" w:type="dxa"/>
            <w:bottom w:w="0" w:type="dxa"/>
          </w:tblCellMar>
        </w:tblPrEx>
        <w:tc>
          <w:tcPr>
            <w:tcW w:w="4945" w:type="dxa"/>
            <w:tcMar>
              <w:top w:w="25" w:type="dxa"/>
              <w:left w:w="60" w:type="dxa"/>
              <w:bottom w:w="25" w:type="dxa"/>
              <w:right w:w="60" w:type="dxa"/>
            </w:tcMar>
          </w:tcPr>
          <w:p w14:paraId="3561D4CC" w14:textId="77777777" w:rsidR="00033373" w:rsidRDefault="00000000">
            <w:pPr>
              <w:pStyle w:val="ListParagraph"/>
              <w:numPr>
                <w:ilvl w:val="0"/>
                <w:numId w:val="2"/>
              </w:numPr>
              <w:spacing w:before="10" w:after="10"/>
            </w:pPr>
            <w:r>
              <w:rPr>
                <w:sz w:val="17"/>
                <w:szCs w:val="17"/>
              </w:rPr>
              <w:t>GRC Platform Implementation (ServiceNow)</w:t>
            </w:r>
          </w:p>
        </w:tc>
        <w:tc>
          <w:tcPr>
            <w:tcW w:w="4945" w:type="dxa"/>
            <w:tcMar>
              <w:top w:w="25" w:type="dxa"/>
              <w:left w:w="60" w:type="dxa"/>
              <w:bottom w:w="25" w:type="dxa"/>
              <w:right w:w="60" w:type="dxa"/>
            </w:tcMar>
          </w:tcPr>
          <w:p w14:paraId="052D7173" w14:textId="77777777" w:rsidR="00033373" w:rsidRDefault="00000000">
            <w:pPr>
              <w:pStyle w:val="ListParagraph"/>
              <w:numPr>
                <w:ilvl w:val="0"/>
                <w:numId w:val="2"/>
              </w:numPr>
              <w:spacing w:before="10" w:after="10"/>
            </w:pPr>
            <w:r>
              <w:rPr>
                <w:sz w:val="17"/>
                <w:szCs w:val="17"/>
              </w:rPr>
              <w:t>Business Continuity &amp; Disaster Recovery</w:t>
            </w:r>
          </w:p>
        </w:tc>
      </w:tr>
      <w:tr w:rsidR="00033373" w14:paraId="66E84C76" w14:textId="77777777">
        <w:tblPrEx>
          <w:tblCellMar>
            <w:top w:w="0" w:type="dxa"/>
            <w:bottom w:w="0" w:type="dxa"/>
          </w:tblCellMar>
        </w:tblPrEx>
        <w:tc>
          <w:tcPr>
            <w:tcW w:w="4945" w:type="dxa"/>
            <w:tcMar>
              <w:top w:w="25" w:type="dxa"/>
              <w:left w:w="60" w:type="dxa"/>
              <w:bottom w:w="25" w:type="dxa"/>
              <w:right w:w="60" w:type="dxa"/>
            </w:tcMar>
          </w:tcPr>
          <w:p w14:paraId="54F51F7B" w14:textId="77777777" w:rsidR="00033373" w:rsidRDefault="00000000">
            <w:pPr>
              <w:pStyle w:val="ListParagraph"/>
              <w:numPr>
                <w:ilvl w:val="0"/>
                <w:numId w:val="2"/>
              </w:numPr>
              <w:spacing w:before="10" w:after="10"/>
            </w:pPr>
            <w:r>
              <w:rPr>
                <w:sz w:val="17"/>
                <w:szCs w:val="17"/>
              </w:rPr>
              <w:t>Third-Party &amp; Vendor Risk Management (TPRM)</w:t>
            </w:r>
          </w:p>
        </w:tc>
        <w:tc>
          <w:tcPr>
            <w:tcW w:w="4945" w:type="dxa"/>
            <w:tcMar>
              <w:top w:w="25" w:type="dxa"/>
              <w:left w:w="60" w:type="dxa"/>
              <w:bottom w:w="25" w:type="dxa"/>
              <w:right w:w="60" w:type="dxa"/>
            </w:tcMar>
          </w:tcPr>
          <w:p w14:paraId="5AC58766" w14:textId="77777777" w:rsidR="00033373" w:rsidRDefault="00000000">
            <w:pPr>
              <w:pStyle w:val="ListParagraph"/>
              <w:numPr>
                <w:ilvl w:val="0"/>
                <w:numId w:val="2"/>
              </w:numPr>
              <w:spacing w:before="10" w:after="10"/>
            </w:pPr>
            <w:r>
              <w:rPr>
                <w:sz w:val="17"/>
                <w:szCs w:val="17"/>
              </w:rPr>
              <w:t>Compliance Monitoring &amp; Continuous Improvement</w:t>
            </w:r>
          </w:p>
        </w:tc>
      </w:tr>
      <w:tr w:rsidR="00033373" w14:paraId="0DEFDBE1" w14:textId="77777777">
        <w:tblPrEx>
          <w:tblCellMar>
            <w:top w:w="0" w:type="dxa"/>
            <w:bottom w:w="0" w:type="dxa"/>
          </w:tblCellMar>
        </w:tblPrEx>
        <w:tc>
          <w:tcPr>
            <w:tcW w:w="4945" w:type="dxa"/>
            <w:tcMar>
              <w:top w:w="25" w:type="dxa"/>
              <w:left w:w="60" w:type="dxa"/>
              <w:bottom w:w="25" w:type="dxa"/>
              <w:right w:w="60" w:type="dxa"/>
            </w:tcMar>
          </w:tcPr>
          <w:p w14:paraId="78CA4718" w14:textId="77777777" w:rsidR="00033373" w:rsidRDefault="00000000">
            <w:pPr>
              <w:pStyle w:val="ListParagraph"/>
              <w:numPr>
                <w:ilvl w:val="0"/>
                <w:numId w:val="2"/>
              </w:numPr>
              <w:spacing w:before="10" w:after="10"/>
            </w:pPr>
            <w:r>
              <w:rPr>
                <w:sz w:val="17"/>
                <w:szCs w:val="17"/>
              </w:rPr>
              <w:t>IT Governance &amp; Framework Design</w:t>
            </w:r>
          </w:p>
        </w:tc>
        <w:tc>
          <w:tcPr>
            <w:tcW w:w="4945" w:type="dxa"/>
            <w:tcMar>
              <w:top w:w="25" w:type="dxa"/>
              <w:left w:w="60" w:type="dxa"/>
              <w:bottom w:w="25" w:type="dxa"/>
              <w:right w:w="60" w:type="dxa"/>
            </w:tcMar>
          </w:tcPr>
          <w:p w14:paraId="03166A12" w14:textId="77777777" w:rsidR="00033373" w:rsidRDefault="00000000">
            <w:pPr>
              <w:pStyle w:val="ListParagraph"/>
              <w:numPr>
                <w:ilvl w:val="0"/>
                <w:numId w:val="2"/>
              </w:numPr>
              <w:spacing w:before="10" w:after="10"/>
            </w:pPr>
            <w:r>
              <w:rPr>
                <w:sz w:val="17"/>
                <w:szCs w:val="17"/>
              </w:rPr>
              <w:t>Vulnerability Management</w:t>
            </w:r>
          </w:p>
        </w:tc>
      </w:tr>
      <w:tr w:rsidR="00033373" w14:paraId="61939B20" w14:textId="77777777">
        <w:tblPrEx>
          <w:tblCellMar>
            <w:top w:w="0" w:type="dxa"/>
            <w:bottom w:w="0" w:type="dxa"/>
          </w:tblCellMar>
        </w:tblPrEx>
        <w:tc>
          <w:tcPr>
            <w:tcW w:w="4945" w:type="dxa"/>
            <w:tcMar>
              <w:top w:w="25" w:type="dxa"/>
              <w:left w:w="60" w:type="dxa"/>
              <w:bottom w:w="25" w:type="dxa"/>
              <w:right w:w="60" w:type="dxa"/>
            </w:tcMar>
          </w:tcPr>
          <w:p w14:paraId="45D30814" w14:textId="77777777" w:rsidR="00033373" w:rsidRDefault="00000000">
            <w:pPr>
              <w:pStyle w:val="ListParagraph"/>
              <w:numPr>
                <w:ilvl w:val="0"/>
                <w:numId w:val="2"/>
              </w:numPr>
              <w:spacing w:before="10" w:after="10"/>
            </w:pPr>
            <w:r>
              <w:rPr>
                <w:sz w:val="17"/>
                <w:szCs w:val="17"/>
              </w:rPr>
              <w:t>Regulatory Compliance: GDPR, HIPAA, PCI-DSS, SOC 1/2</w:t>
            </w:r>
          </w:p>
        </w:tc>
        <w:tc>
          <w:tcPr>
            <w:tcW w:w="4945" w:type="dxa"/>
            <w:tcMar>
              <w:top w:w="25" w:type="dxa"/>
              <w:left w:w="60" w:type="dxa"/>
              <w:bottom w:w="25" w:type="dxa"/>
              <w:right w:w="60" w:type="dxa"/>
            </w:tcMar>
          </w:tcPr>
          <w:p w14:paraId="4BE9C0BB" w14:textId="77777777" w:rsidR="00033373" w:rsidRDefault="00000000">
            <w:pPr>
              <w:pStyle w:val="ListParagraph"/>
              <w:numPr>
                <w:ilvl w:val="0"/>
                <w:numId w:val="2"/>
              </w:numPr>
              <w:spacing w:before="10" w:after="10"/>
            </w:pPr>
            <w:r>
              <w:rPr>
                <w:sz w:val="17"/>
                <w:szCs w:val="17"/>
              </w:rPr>
              <w:t>Incident Response Coordination</w:t>
            </w:r>
          </w:p>
        </w:tc>
      </w:tr>
      <w:tr w:rsidR="00033373" w14:paraId="3E989DF9" w14:textId="77777777">
        <w:tblPrEx>
          <w:tblCellMar>
            <w:top w:w="0" w:type="dxa"/>
            <w:bottom w:w="0" w:type="dxa"/>
          </w:tblCellMar>
        </w:tblPrEx>
        <w:tc>
          <w:tcPr>
            <w:tcW w:w="4945" w:type="dxa"/>
            <w:tcMar>
              <w:top w:w="25" w:type="dxa"/>
              <w:left w:w="60" w:type="dxa"/>
              <w:bottom w:w="25" w:type="dxa"/>
              <w:right w:w="60" w:type="dxa"/>
            </w:tcMar>
          </w:tcPr>
          <w:p w14:paraId="76B3089E" w14:textId="77777777" w:rsidR="00033373" w:rsidRDefault="00000000">
            <w:pPr>
              <w:pStyle w:val="ListParagraph"/>
              <w:numPr>
                <w:ilvl w:val="0"/>
                <w:numId w:val="2"/>
              </w:numPr>
              <w:spacing w:before="10" w:after="10"/>
            </w:pPr>
            <w:r>
              <w:rPr>
                <w:sz w:val="17"/>
                <w:szCs w:val="17"/>
              </w:rPr>
              <w:t>Risk Assessment &amp; Risk Register Management</w:t>
            </w:r>
          </w:p>
        </w:tc>
        <w:tc>
          <w:tcPr>
            <w:tcW w:w="4945" w:type="dxa"/>
            <w:tcMar>
              <w:top w:w="25" w:type="dxa"/>
              <w:left w:w="60" w:type="dxa"/>
              <w:bottom w:w="25" w:type="dxa"/>
              <w:right w:w="60" w:type="dxa"/>
            </w:tcMar>
          </w:tcPr>
          <w:p w14:paraId="4D5E881D" w14:textId="77777777" w:rsidR="00033373" w:rsidRDefault="00000000">
            <w:pPr>
              <w:pStyle w:val="ListParagraph"/>
              <w:numPr>
                <w:ilvl w:val="0"/>
                <w:numId w:val="2"/>
              </w:numPr>
              <w:spacing w:before="10" w:after="10"/>
            </w:pPr>
            <w:r>
              <w:rPr>
                <w:sz w:val="17"/>
                <w:szCs w:val="17"/>
              </w:rPr>
              <w:t>Security Awareness &amp; Workforce Training</w:t>
            </w:r>
          </w:p>
        </w:tc>
      </w:tr>
      <w:tr w:rsidR="00033373" w14:paraId="23324949" w14:textId="77777777">
        <w:tblPrEx>
          <w:tblCellMar>
            <w:top w:w="0" w:type="dxa"/>
            <w:bottom w:w="0" w:type="dxa"/>
          </w:tblCellMar>
        </w:tblPrEx>
        <w:tc>
          <w:tcPr>
            <w:tcW w:w="4945" w:type="dxa"/>
            <w:tcMar>
              <w:top w:w="25" w:type="dxa"/>
              <w:left w:w="60" w:type="dxa"/>
              <w:bottom w:w="25" w:type="dxa"/>
              <w:right w:w="60" w:type="dxa"/>
            </w:tcMar>
          </w:tcPr>
          <w:p w14:paraId="7FF12056" w14:textId="77777777" w:rsidR="00033373" w:rsidRDefault="00000000">
            <w:pPr>
              <w:pStyle w:val="ListParagraph"/>
              <w:numPr>
                <w:ilvl w:val="0"/>
                <w:numId w:val="2"/>
              </w:numPr>
              <w:spacing w:before="10" w:after="10"/>
            </w:pPr>
            <w:r>
              <w:rPr>
                <w:sz w:val="17"/>
                <w:szCs w:val="17"/>
              </w:rPr>
              <w:t>Security Audit &amp; Audit Readiness</w:t>
            </w:r>
          </w:p>
        </w:tc>
        <w:tc>
          <w:tcPr>
            <w:tcW w:w="4945" w:type="dxa"/>
            <w:tcMar>
              <w:top w:w="25" w:type="dxa"/>
              <w:left w:w="60" w:type="dxa"/>
              <w:bottom w:w="25" w:type="dxa"/>
              <w:right w:w="60" w:type="dxa"/>
            </w:tcMar>
          </w:tcPr>
          <w:p w14:paraId="60727D00" w14:textId="77777777" w:rsidR="00033373" w:rsidRDefault="00000000">
            <w:pPr>
              <w:pStyle w:val="ListParagraph"/>
              <w:numPr>
                <w:ilvl w:val="0"/>
                <w:numId w:val="2"/>
              </w:numPr>
              <w:spacing w:before="10" w:after="10"/>
            </w:pPr>
            <w:r>
              <w:rPr>
                <w:sz w:val="17"/>
                <w:szCs w:val="17"/>
              </w:rPr>
              <w:t>Stakeholder Engagement &amp; Executive Reporting</w:t>
            </w:r>
          </w:p>
        </w:tc>
      </w:tr>
    </w:tbl>
    <w:p w14:paraId="5B3238A7" w14:textId="77777777" w:rsidR="00033373" w:rsidRDefault="00033373">
      <w:pPr>
        <w:spacing w:before="40"/>
      </w:pPr>
    </w:p>
    <w:p w14:paraId="30B45548" w14:textId="77777777" w:rsidR="00033373" w:rsidRDefault="00000000">
      <w:pPr>
        <w:pBdr>
          <w:bottom w:val="single" w:sz="10" w:space="2" w:color="2E5FAA"/>
        </w:pBdr>
        <w:spacing w:before="120" w:after="40"/>
      </w:pPr>
      <w:r>
        <w:rPr>
          <w:b/>
          <w:bCs/>
          <w:color w:val="1B3A6B"/>
          <w:sz w:val="20"/>
          <w:szCs w:val="20"/>
        </w:rPr>
        <w:t>KEY ACHIEVEMENTS</w:t>
      </w:r>
    </w:p>
    <w:p w14:paraId="1138733E" w14:textId="77777777" w:rsidR="00033373" w:rsidRDefault="00000000">
      <w:pPr>
        <w:pStyle w:val="ListParagraph"/>
        <w:numPr>
          <w:ilvl w:val="0"/>
          <w:numId w:val="3"/>
        </w:numPr>
        <w:spacing w:before="20" w:after="20"/>
      </w:pPr>
      <w:r>
        <w:t>Deployed ServiceNow as the TPRM platform at Brunel Consulting, consolidating vendor assessment workflows and cutting manual tracking effort across the third-party risk team.</w:t>
      </w:r>
    </w:p>
    <w:p w14:paraId="3DA9BAF6" w14:textId="77777777" w:rsidR="00033373" w:rsidRDefault="00000000">
      <w:pPr>
        <w:pStyle w:val="ListParagraph"/>
        <w:numPr>
          <w:ilvl w:val="0"/>
          <w:numId w:val="3"/>
        </w:numPr>
        <w:spacing w:before="20" w:after="20"/>
      </w:pPr>
      <w:r>
        <w:t xml:space="preserve">Led end-to-end ISO 27001 ISMS projects at Keywest Consulting for multiple client </w:t>
      </w:r>
      <w:proofErr w:type="spellStart"/>
      <w:r>
        <w:t>organisations</w:t>
      </w:r>
      <w:proofErr w:type="spellEnd"/>
      <w:r>
        <w:t xml:space="preserve"> from gap assessment through to certification, with all clients passing surveillance audits without remedial action.</w:t>
      </w:r>
    </w:p>
    <w:p w14:paraId="33763401" w14:textId="77777777" w:rsidR="00033373" w:rsidRDefault="00000000">
      <w:pPr>
        <w:pStyle w:val="ListParagraph"/>
        <w:numPr>
          <w:ilvl w:val="0"/>
          <w:numId w:val="3"/>
        </w:numPr>
        <w:spacing w:before="20" w:after="20"/>
      </w:pPr>
      <w:r>
        <w:t>Built an automated GRC risk and vulnerability tracking process at Brunel that reduced manual spreadsheet management and freed analyst capacity for higher-value remediation work.</w:t>
      </w:r>
    </w:p>
    <w:p w14:paraId="58B5CC86" w14:textId="77777777" w:rsidR="00033373" w:rsidRDefault="00000000">
      <w:pPr>
        <w:pStyle w:val="ListParagraph"/>
        <w:numPr>
          <w:ilvl w:val="0"/>
          <w:numId w:val="3"/>
        </w:numPr>
        <w:spacing w:before="20" w:after="20"/>
      </w:pPr>
      <w:r>
        <w:t>Identified security vulnerabilities during third-party assessments at Brunel that led clients to replace non-compliant vendors, directly protecting their PCI-DSS and ISO 27001 standing.</w:t>
      </w:r>
    </w:p>
    <w:p w14:paraId="5174196E" w14:textId="77777777" w:rsidR="00033373" w:rsidRDefault="00000000">
      <w:pPr>
        <w:pStyle w:val="ListParagraph"/>
        <w:numPr>
          <w:ilvl w:val="0"/>
          <w:numId w:val="3"/>
        </w:numPr>
        <w:spacing w:before="20" w:after="20"/>
      </w:pPr>
      <w:r>
        <w:t>Introduced continuous compliance dashboards at Keywest for clients under UK GDPR and SOC 2, enabling real-time compliance visibility in place of reactive, point-in-time audit preparation.</w:t>
      </w:r>
    </w:p>
    <w:p w14:paraId="6E006840" w14:textId="77777777" w:rsidR="00033373" w:rsidRDefault="00000000">
      <w:pPr>
        <w:pBdr>
          <w:bottom w:val="single" w:sz="10" w:space="2" w:color="2E5FAA"/>
        </w:pBdr>
        <w:spacing w:before="120" w:after="40"/>
      </w:pPr>
      <w:r>
        <w:rPr>
          <w:b/>
          <w:bCs/>
          <w:color w:val="1B3A6B"/>
          <w:sz w:val="20"/>
          <w:szCs w:val="20"/>
        </w:rPr>
        <w:t>PROFESSIONAL EXPERIENCE</w:t>
      </w:r>
    </w:p>
    <w:p w14:paraId="0CECA1DF" w14:textId="77777777" w:rsidR="006B55C6" w:rsidRDefault="006B55C6">
      <w:pPr>
        <w:spacing w:before="110" w:after="20"/>
        <w:rPr>
          <w:b/>
          <w:bCs/>
          <w:color w:val="1B3A6B"/>
          <w:sz w:val="19"/>
          <w:szCs w:val="19"/>
        </w:rPr>
      </w:pPr>
    </w:p>
    <w:p w14:paraId="20AC508B" w14:textId="50594D05" w:rsidR="00033373" w:rsidRDefault="00000000">
      <w:pPr>
        <w:spacing w:before="110" w:after="20"/>
      </w:pPr>
      <w:r>
        <w:rPr>
          <w:b/>
          <w:bCs/>
          <w:color w:val="1B3A6B"/>
          <w:sz w:val="19"/>
          <w:szCs w:val="19"/>
        </w:rPr>
        <w:t xml:space="preserve">Compliance Coordinator (Information Security &amp; </w:t>
      </w:r>
      <w:r w:rsidR="006B55C6">
        <w:rPr>
          <w:b/>
          <w:bCs/>
          <w:color w:val="1B3A6B"/>
          <w:sz w:val="19"/>
          <w:szCs w:val="19"/>
        </w:rPr>
        <w:t>Risk)</w:t>
      </w:r>
      <w:r w:rsidR="006B55C6">
        <w:rPr>
          <w:color w:val="555566"/>
        </w:rPr>
        <w:t xml:space="preserve"> </w:t>
      </w:r>
      <w:r w:rsidR="006B55C6">
        <w:rPr>
          <w:color w:val="555566"/>
        </w:rPr>
        <w:t xml:space="preserve">| </w:t>
      </w:r>
      <w:r w:rsidR="006B55C6">
        <w:rPr>
          <w:b/>
          <w:bCs/>
          <w:color w:val="2E5FAA"/>
        </w:rPr>
        <w:t>FirstAround</w:t>
      </w:r>
      <w:r w:rsidR="006B55C6">
        <w:rPr>
          <w:color w:val="555566"/>
        </w:rPr>
        <w:t>| Indianapolis</w:t>
      </w:r>
      <w:r>
        <w:rPr>
          <w:color w:val="555566"/>
        </w:rPr>
        <w:t xml:space="preserve">, </w:t>
      </w:r>
      <w:r w:rsidR="006B55C6">
        <w:rPr>
          <w:color w:val="555566"/>
        </w:rPr>
        <w:t>USA | May</w:t>
      </w:r>
      <w:r>
        <w:rPr>
          <w:i/>
          <w:iCs/>
          <w:color w:val="555566"/>
        </w:rPr>
        <w:t xml:space="preserve"> 2022 – Present</w:t>
      </w:r>
    </w:p>
    <w:p w14:paraId="0D9AB08D" w14:textId="4BC9812F" w:rsidR="00033373" w:rsidRDefault="00000000">
      <w:pPr>
        <w:spacing w:before="30" w:after="30"/>
      </w:pPr>
      <w:r>
        <w:t xml:space="preserve">Embedded within a regulated residential care </w:t>
      </w:r>
      <w:r w:rsidR="006B55C6">
        <w:t>organization</w:t>
      </w:r>
      <w:r>
        <w:t>, this role required translating GRC disciplines into an environment governed by HIPAA, HITECH, and the NIST CSF, working across clinical, operational, and IT functions to make compliance practical rather than procedural.</w:t>
      </w:r>
    </w:p>
    <w:p w14:paraId="0273D2B7" w14:textId="67D22C68" w:rsidR="00033373" w:rsidRDefault="00000000">
      <w:pPr>
        <w:pStyle w:val="ListParagraph"/>
        <w:numPr>
          <w:ilvl w:val="0"/>
          <w:numId w:val="3"/>
        </w:numPr>
        <w:spacing w:before="20" w:after="20"/>
      </w:pPr>
      <w:r>
        <w:t xml:space="preserve">Restructured compliance documentation and evidence management, giving audit teams immediate access to clearly </w:t>
      </w:r>
      <w:r w:rsidR="006B55C6">
        <w:t>organized</w:t>
      </w:r>
      <w:r>
        <w:t xml:space="preserve"> records and removing last-minute scramble ahead of regulatory inspections.</w:t>
      </w:r>
    </w:p>
    <w:p w14:paraId="30676084" w14:textId="77777777" w:rsidR="00033373" w:rsidRDefault="00000000">
      <w:pPr>
        <w:pStyle w:val="ListParagraph"/>
        <w:numPr>
          <w:ilvl w:val="0"/>
          <w:numId w:val="3"/>
        </w:numPr>
        <w:spacing w:before="20" w:after="20"/>
      </w:pPr>
      <w:r>
        <w:t>Maintained the risk register continuously, ensuring control gaps were tracked through to resolution with named owners and agreed closure dates rather than an unassigned backlog.</w:t>
      </w:r>
    </w:p>
    <w:p w14:paraId="08EE7DFA" w14:textId="77777777" w:rsidR="00033373" w:rsidRDefault="00000000">
      <w:pPr>
        <w:pStyle w:val="ListParagraph"/>
        <w:numPr>
          <w:ilvl w:val="0"/>
          <w:numId w:val="3"/>
        </w:numPr>
        <w:spacing w:before="20" w:after="20"/>
      </w:pPr>
      <w:r>
        <w:t>Ran the third-party vendor review cycle, assessing supplier security postures against HIPAA and internal policy requirements and escalating material risks before they reached operational or resident data.</w:t>
      </w:r>
    </w:p>
    <w:p w14:paraId="40639804" w14:textId="340B2F8A" w:rsidR="00033373" w:rsidRDefault="00000000">
      <w:pPr>
        <w:pStyle w:val="ListParagraph"/>
        <w:numPr>
          <w:ilvl w:val="0"/>
          <w:numId w:val="3"/>
        </w:numPr>
        <w:spacing w:before="20" w:after="20"/>
      </w:pPr>
      <w:r>
        <w:t xml:space="preserve">Coordinated a cross-functional security awareness </w:t>
      </w:r>
      <w:r w:rsidR="006B55C6">
        <w:t>program</w:t>
      </w:r>
      <w:r>
        <w:t xml:space="preserve"> that increased staff understanding of data handling obligations, particularly in clinical areas receiving formal information security training for the first time.</w:t>
      </w:r>
    </w:p>
    <w:p w14:paraId="47CBB422" w14:textId="77777777" w:rsidR="00033373" w:rsidRDefault="00000000">
      <w:pPr>
        <w:pStyle w:val="ListParagraph"/>
        <w:numPr>
          <w:ilvl w:val="0"/>
          <w:numId w:val="3"/>
        </w:numPr>
        <w:spacing w:before="20" w:after="20"/>
      </w:pPr>
      <w:r>
        <w:t>Supported incident response activities by documenting containment actions, maintaining evidence trails, and producing post-incident summaries that informed subsequent control improvements.</w:t>
      </w:r>
    </w:p>
    <w:p w14:paraId="02249448" w14:textId="77777777" w:rsidR="006B55C6" w:rsidRDefault="006B55C6">
      <w:pPr>
        <w:spacing w:before="110" w:after="20"/>
        <w:rPr>
          <w:b/>
          <w:bCs/>
          <w:color w:val="1B3A6B"/>
          <w:sz w:val="19"/>
          <w:szCs w:val="19"/>
        </w:rPr>
      </w:pPr>
    </w:p>
    <w:p w14:paraId="6CCA5EA8" w14:textId="2BDAC0D6" w:rsidR="00033373" w:rsidRDefault="00000000">
      <w:pPr>
        <w:spacing w:before="110" w:after="20"/>
      </w:pPr>
      <w:r>
        <w:rPr>
          <w:b/>
          <w:bCs/>
          <w:color w:val="1B3A6B"/>
          <w:sz w:val="19"/>
          <w:szCs w:val="19"/>
        </w:rPr>
        <w:t xml:space="preserve">Information Security &amp; Compliance </w:t>
      </w:r>
      <w:r w:rsidR="006B55C6">
        <w:rPr>
          <w:b/>
          <w:bCs/>
          <w:color w:val="1B3A6B"/>
          <w:sz w:val="19"/>
          <w:szCs w:val="19"/>
        </w:rPr>
        <w:t>Analyst</w:t>
      </w:r>
      <w:r w:rsidR="006B55C6">
        <w:rPr>
          <w:color w:val="555566"/>
        </w:rPr>
        <w:t xml:space="preserve"> </w:t>
      </w:r>
      <w:proofErr w:type="gramStart"/>
      <w:r w:rsidR="006B55C6">
        <w:rPr>
          <w:color w:val="555566"/>
        </w:rPr>
        <w:t>|</w:t>
      </w:r>
      <w:r>
        <w:rPr>
          <w:color w:val="555566"/>
        </w:rPr>
        <w:t xml:space="preserve">  </w:t>
      </w:r>
      <w:r>
        <w:rPr>
          <w:b/>
          <w:bCs/>
          <w:color w:val="2E5FAA"/>
        </w:rPr>
        <w:t>Keywest</w:t>
      </w:r>
      <w:proofErr w:type="gramEnd"/>
      <w:r>
        <w:rPr>
          <w:b/>
          <w:bCs/>
          <w:color w:val="2E5FAA"/>
        </w:rPr>
        <w:t xml:space="preserve"> </w:t>
      </w:r>
      <w:r w:rsidR="006B55C6">
        <w:rPr>
          <w:b/>
          <w:bCs/>
          <w:color w:val="2E5FAA"/>
        </w:rPr>
        <w:t>Consulting</w:t>
      </w:r>
      <w:r w:rsidR="006B55C6">
        <w:rPr>
          <w:color w:val="555566"/>
        </w:rPr>
        <w:t xml:space="preserve"> | United</w:t>
      </w:r>
      <w:r>
        <w:rPr>
          <w:color w:val="555566"/>
        </w:rPr>
        <w:t xml:space="preserve"> Kingdom (</w:t>
      </w:r>
      <w:r w:rsidR="006B55C6">
        <w:rPr>
          <w:color w:val="555566"/>
        </w:rPr>
        <w:t>Remote) | April</w:t>
      </w:r>
      <w:r>
        <w:rPr>
          <w:i/>
          <w:iCs/>
          <w:color w:val="555566"/>
        </w:rPr>
        <w:t xml:space="preserve"> 2020 – February 2022</w:t>
      </w:r>
    </w:p>
    <w:p w14:paraId="2A9E38DC" w14:textId="77777777" w:rsidR="00033373" w:rsidRDefault="00000000">
      <w:pPr>
        <w:spacing w:before="30" w:after="30"/>
      </w:pPr>
      <w:r>
        <w:t xml:space="preserve">Delivered agile compliance </w:t>
      </w:r>
      <w:proofErr w:type="spellStart"/>
      <w:r>
        <w:t>programmes</w:t>
      </w:r>
      <w:proofErr w:type="spellEnd"/>
      <w:r>
        <w:t xml:space="preserve"> for clients across multiple sectors within a specialist GRC consultancy, combining hands-on framework implementation with client-facing advisory work under ISO 27001, UK GDPR, and SOC 2.</w:t>
      </w:r>
    </w:p>
    <w:p w14:paraId="12F82412" w14:textId="58C7D444" w:rsidR="00033373" w:rsidRDefault="00000000">
      <w:pPr>
        <w:pStyle w:val="ListParagraph"/>
        <w:numPr>
          <w:ilvl w:val="0"/>
          <w:numId w:val="3"/>
        </w:numPr>
        <w:spacing w:before="20" w:after="20"/>
      </w:pPr>
      <w:r>
        <w:t xml:space="preserve">Built and delivered ISO 27001 ISMS projects for multiple client </w:t>
      </w:r>
      <w:r w:rsidR="006B55C6">
        <w:t>organizations</w:t>
      </w:r>
      <w:r>
        <w:t xml:space="preserve">, designing and testing controls and supporting each </w:t>
      </w:r>
      <w:r w:rsidR="006B55C6">
        <w:t>through</w:t>
      </w:r>
      <w:r>
        <w:t xml:space="preserve"> successful certification and surveillance audits.</w:t>
      </w:r>
    </w:p>
    <w:p w14:paraId="548C7957" w14:textId="36901854" w:rsidR="00033373" w:rsidRDefault="00000000">
      <w:pPr>
        <w:pStyle w:val="ListParagraph"/>
        <w:numPr>
          <w:ilvl w:val="0"/>
          <w:numId w:val="3"/>
        </w:numPr>
        <w:spacing w:before="20" w:after="20"/>
      </w:pPr>
      <w:r>
        <w:t xml:space="preserve">Conducted ISO 27005 and NIST CSF-aligned risk assessments, populating client risk registers with findings </w:t>
      </w:r>
      <w:r w:rsidR="006B55C6">
        <w:t>prioritized</w:t>
      </w:r>
      <w:r>
        <w:t xml:space="preserve"> by business impact and tracking treatment plans through to completion.</w:t>
      </w:r>
    </w:p>
    <w:p w14:paraId="2C17DE4A" w14:textId="77777777" w:rsidR="00033373" w:rsidRDefault="00000000">
      <w:pPr>
        <w:pStyle w:val="ListParagraph"/>
        <w:numPr>
          <w:ilvl w:val="0"/>
          <w:numId w:val="3"/>
        </w:numPr>
        <w:spacing w:before="20" w:after="20"/>
      </w:pPr>
      <w:r>
        <w:t>Reviewed client policies and operational processes against UK GDPR, SOC 1, and SOC 2 requirements, identifying deficiencies and working with business owners to close gaps within agreed timescales.</w:t>
      </w:r>
    </w:p>
    <w:p w14:paraId="2AB79500" w14:textId="77777777" w:rsidR="00033373" w:rsidRDefault="00000000">
      <w:pPr>
        <w:pStyle w:val="ListParagraph"/>
        <w:numPr>
          <w:ilvl w:val="0"/>
          <w:numId w:val="3"/>
        </w:numPr>
        <w:spacing w:before="20" w:after="20"/>
      </w:pPr>
      <w:r>
        <w:lastRenderedPageBreak/>
        <w:t>Ran internal audits and supplier security assessments, producing risk-rated findings reports and verifying corrective actions through to closure before discharging audit obligations.</w:t>
      </w:r>
    </w:p>
    <w:p w14:paraId="5FDBEBDA" w14:textId="77777777" w:rsidR="00033373" w:rsidRDefault="00000000">
      <w:pPr>
        <w:pStyle w:val="ListParagraph"/>
        <w:numPr>
          <w:ilvl w:val="0"/>
          <w:numId w:val="3"/>
        </w:numPr>
        <w:spacing w:before="20" w:after="20"/>
      </w:pPr>
      <w:r>
        <w:t>Established sprint-based compliance planning and continuous compliance dashboards for clients, replacing reactive audit preparation with an ongoing state of demonstrable readiness.</w:t>
      </w:r>
    </w:p>
    <w:p w14:paraId="4C7A2AE2" w14:textId="77777777" w:rsidR="006B55C6" w:rsidRDefault="006B55C6">
      <w:pPr>
        <w:spacing w:before="110" w:after="20"/>
        <w:rPr>
          <w:b/>
          <w:bCs/>
          <w:color w:val="1B3A6B"/>
          <w:sz w:val="19"/>
          <w:szCs w:val="19"/>
        </w:rPr>
      </w:pPr>
    </w:p>
    <w:p w14:paraId="12F3F5A5" w14:textId="6D0AA573" w:rsidR="00033373" w:rsidRDefault="00000000">
      <w:pPr>
        <w:spacing w:before="110" w:after="20"/>
      </w:pPr>
      <w:r>
        <w:rPr>
          <w:b/>
          <w:bCs/>
          <w:color w:val="1B3A6B"/>
          <w:sz w:val="19"/>
          <w:szCs w:val="19"/>
        </w:rPr>
        <w:t xml:space="preserve">IT Risk &amp; Compliance </w:t>
      </w:r>
      <w:proofErr w:type="gramStart"/>
      <w:r>
        <w:rPr>
          <w:b/>
          <w:bCs/>
          <w:color w:val="1B3A6B"/>
          <w:sz w:val="19"/>
          <w:szCs w:val="19"/>
        </w:rPr>
        <w:t>Analyst</w:t>
      </w:r>
      <w:r>
        <w:rPr>
          <w:color w:val="555566"/>
        </w:rPr>
        <w:t xml:space="preserve">  |</w:t>
      </w:r>
      <w:proofErr w:type="gramEnd"/>
      <w:r>
        <w:rPr>
          <w:color w:val="555566"/>
        </w:rPr>
        <w:t xml:space="preserve">  </w:t>
      </w:r>
      <w:r>
        <w:rPr>
          <w:b/>
          <w:bCs/>
          <w:color w:val="2E5FAA"/>
        </w:rPr>
        <w:t xml:space="preserve">Brunel </w:t>
      </w:r>
      <w:proofErr w:type="gramStart"/>
      <w:r>
        <w:rPr>
          <w:b/>
          <w:bCs/>
          <w:color w:val="2E5FAA"/>
        </w:rPr>
        <w:t>Consulting</w:t>
      </w:r>
      <w:r>
        <w:rPr>
          <w:color w:val="555566"/>
        </w:rPr>
        <w:t xml:space="preserve">  |</w:t>
      </w:r>
      <w:proofErr w:type="gramEnd"/>
      <w:r>
        <w:rPr>
          <w:color w:val="555566"/>
        </w:rPr>
        <w:t xml:space="preserve">  United </w:t>
      </w:r>
      <w:proofErr w:type="gramStart"/>
      <w:r>
        <w:rPr>
          <w:color w:val="555566"/>
        </w:rPr>
        <w:t>Kingdom  |</w:t>
      </w:r>
      <w:proofErr w:type="gramEnd"/>
      <w:r>
        <w:rPr>
          <w:color w:val="555566"/>
        </w:rPr>
        <w:t xml:space="preserve">  </w:t>
      </w:r>
      <w:r>
        <w:rPr>
          <w:i/>
          <w:iCs/>
          <w:color w:val="555566"/>
        </w:rPr>
        <w:t>March 2014 – February 2020</w:t>
      </w:r>
    </w:p>
    <w:p w14:paraId="3423808D" w14:textId="77777777" w:rsidR="00033373" w:rsidRDefault="00000000">
      <w:pPr>
        <w:spacing w:before="30" w:after="30"/>
      </w:pPr>
      <w:r>
        <w:t>Six years at a consultancy offering IT strategy, cybersecurity, and infrastructure services provided broad exposure to IT risk and compliance across ISO 27001, NIST, CIS Controls, PCI-DSS, and SOC 2, spanning advisory and hands-on implementation across varied client environments.</w:t>
      </w:r>
    </w:p>
    <w:p w14:paraId="5107713F" w14:textId="77777777" w:rsidR="00033373" w:rsidRDefault="00000000">
      <w:pPr>
        <w:pStyle w:val="ListParagraph"/>
        <w:numPr>
          <w:ilvl w:val="0"/>
          <w:numId w:val="3"/>
        </w:numPr>
        <w:spacing w:before="20" w:after="20"/>
      </w:pPr>
      <w:r>
        <w:t>Scoped and delivered third-party vendor security assessments, reviewing SOC 2 reports, penetration test findings, and contract documentation to confirm security obligations before onboarding.</w:t>
      </w:r>
    </w:p>
    <w:p w14:paraId="2590576E" w14:textId="77777777" w:rsidR="00033373" w:rsidRDefault="00000000">
      <w:pPr>
        <w:pStyle w:val="ListParagraph"/>
        <w:numPr>
          <w:ilvl w:val="0"/>
          <w:numId w:val="3"/>
        </w:numPr>
        <w:spacing w:before="20" w:after="20"/>
      </w:pPr>
      <w:r>
        <w:t>Deployed ServiceNow as the TPRM platform with the IT compliance team, structuring vendor assessment workflows and providing consolidated visibility into the third-party risk landscape.</w:t>
      </w:r>
    </w:p>
    <w:p w14:paraId="2D76CCC3" w14:textId="77777777" w:rsidR="00033373" w:rsidRDefault="00000000">
      <w:pPr>
        <w:pStyle w:val="ListParagraph"/>
        <w:numPr>
          <w:ilvl w:val="0"/>
          <w:numId w:val="3"/>
        </w:numPr>
        <w:spacing w:before="20" w:after="20"/>
      </w:pPr>
      <w:r>
        <w:t>Designed automated GRC risk and vulnerability tracking processes that reduced manual effort and enabled the team to expand monitoring coverage without increasing headcount proportionally.</w:t>
      </w:r>
    </w:p>
    <w:p w14:paraId="419A185A" w14:textId="497F1879" w:rsidR="00033373" w:rsidRDefault="00000000">
      <w:pPr>
        <w:pStyle w:val="ListParagraph"/>
        <w:numPr>
          <w:ilvl w:val="0"/>
          <w:numId w:val="3"/>
        </w:numPr>
        <w:spacing w:before="20" w:after="20"/>
      </w:pPr>
      <w:r>
        <w:t xml:space="preserve">Managed the full TPRM lifecycle across engagements from due diligence and vendor selection </w:t>
      </w:r>
      <w:r w:rsidR="006B55C6">
        <w:t>through</w:t>
      </w:r>
      <w:r>
        <w:t xml:space="preserve"> ongoing monitoring and exit, with security requirements enforced at every stage.</w:t>
      </w:r>
    </w:p>
    <w:p w14:paraId="4FA5016C" w14:textId="77777777" w:rsidR="00033373" w:rsidRDefault="00000000">
      <w:pPr>
        <w:pStyle w:val="ListParagraph"/>
        <w:numPr>
          <w:ilvl w:val="0"/>
          <w:numId w:val="3"/>
        </w:numPr>
        <w:spacing w:before="20" w:after="20"/>
      </w:pPr>
      <w:r>
        <w:t>Reviewed IT controls against ISO 27001, CIS, NIST, and PCI-DSS, identifying gaps and working with business owners to assign, track, and close remediation activities.</w:t>
      </w:r>
    </w:p>
    <w:p w14:paraId="26C0C690" w14:textId="77777777" w:rsidR="006B55C6" w:rsidRDefault="006B55C6">
      <w:pPr>
        <w:spacing w:before="90" w:after="20"/>
        <w:rPr>
          <w:b/>
          <w:bCs/>
          <w:color w:val="555566"/>
        </w:rPr>
      </w:pPr>
    </w:p>
    <w:p w14:paraId="08346614" w14:textId="3082D8B8" w:rsidR="00033373" w:rsidRDefault="00000000">
      <w:pPr>
        <w:spacing w:before="90" w:after="20"/>
      </w:pPr>
      <w:r>
        <w:rPr>
          <w:b/>
          <w:bCs/>
          <w:color w:val="555566"/>
        </w:rPr>
        <w:t>Career Transition: 2012 – 2014</w:t>
      </w:r>
    </w:p>
    <w:p w14:paraId="5D3CB893" w14:textId="77777777" w:rsidR="00033373" w:rsidRDefault="00000000">
      <w:pPr>
        <w:spacing w:after="60"/>
      </w:pPr>
      <w:r>
        <w:rPr>
          <w:i/>
          <w:iCs/>
          <w:color w:val="555566"/>
          <w:sz w:val="17"/>
          <w:szCs w:val="17"/>
        </w:rPr>
        <w:t>Following postgraduate studies in Germany and the UNCCD internship, this period was spent relocating to the UK and completing foundational cybersecurity training and certification in preparation for a transition into information security.</w:t>
      </w:r>
    </w:p>
    <w:p w14:paraId="7B8B77E0" w14:textId="77777777" w:rsidR="006B55C6" w:rsidRDefault="006B55C6">
      <w:pPr>
        <w:spacing w:before="110" w:after="20"/>
        <w:rPr>
          <w:b/>
          <w:bCs/>
          <w:color w:val="1B3A6B"/>
          <w:sz w:val="19"/>
          <w:szCs w:val="19"/>
        </w:rPr>
      </w:pPr>
    </w:p>
    <w:p w14:paraId="7D81B8CA" w14:textId="05CBEE8E" w:rsidR="00033373" w:rsidRDefault="00000000">
      <w:pPr>
        <w:spacing w:before="110" w:after="20"/>
      </w:pPr>
      <w:r>
        <w:rPr>
          <w:b/>
          <w:bCs/>
          <w:color w:val="1B3A6B"/>
          <w:sz w:val="19"/>
          <w:szCs w:val="19"/>
        </w:rPr>
        <w:t xml:space="preserve">Intern, Executive Direction &amp; Management </w:t>
      </w:r>
      <w:proofErr w:type="gramStart"/>
      <w:r>
        <w:rPr>
          <w:b/>
          <w:bCs/>
          <w:color w:val="1B3A6B"/>
          <w:sz w:val="19"/>
          <w:szCs w:val="19"/>
        </w:rPr>
        <w:t>Unit</w:t>
      </w:r>
      <w:r>
        <w:rPr>
          <w:color w:val="555566"/>
        </w:rPr>
        <w:t xml:space="preserve">  |</w:t>
      </w:r>
      <w:proofErr w:type="gramEnd"/>
      <w:r>
        <w:rPr>
          <w:color w:val="555566"/>
        </w:rPr>
        <w:t xml:space="preserve">  </w:t>
      </w:r>
      <w:r>
        <w:rPr>
          <w:b/>
          <w:bCs/>
          <w:color w:val="2E5FAA"/>
        </w:rPr>
        <w:t xml:space="preserve">UNCCD (United </w:t>
      </w:r>
      <w:proofErr w:type="gramStart"/>
      <w:r>
        <w:rPr>
          <w:b/>
          <w:bCs/>
          <w:color w:val="2E5FAA"/>
        </w:rPr>
        <w:t>Nations)</w:t>
      </w:r>
      <w:r>
        <w:rPr>
          <w:color w:val="555566"/>
        </w:rPr>
        <w:t xml:space="preserve">  |</w:t>
      </w:r>
      <w:proofErr w:type="gramEnd"/>
      <w:r>
        <w:rPr>
          <w:color w:val="555566"/>
        </w:rPr>
        <w:t xml:space="preserve">  Bonn, </w:t>
      </w:r>
      <w:proofErr w:type="gramStart"/>
      <w:r>
        <w:rPr>
          <w:color w:val="555566"/>
        </w:rPr>
        <w:t>Germany  |</w:t>
      </w:r>
      <w:proofErr w:type="gramEnd"/>
      <w:r>
        <w:rPr>
          <w:color w:val="555566"/>
        </w:rPr>
        <w:t xml:space="preserve">  </w:t>
      </w:r>
      <w:r>
        <w:rPr>
          <w:i/>
          <w:iCs/>
          <w:color w:val="555566"/>
        </w:rPr>
        <w:t>March 2012 (One Month)</w:t>
      </w:r>
    </w:p>
    <w:p w14:paraId="749B11F8" w14:textId="77777777" w:rsidR="00033373" w:rsidRDefault="00000000">
      <w:pPr>
        <w:pStyle w:val="ListParagraph"/>
        <w:numPr>
          <w:ilvl w:val="0"/>
          <w:numId w:val="3"/>
        </w:numPr>
        <w:spacing w:before="20" w:after="20"/>
      </w:pPr>
      <w:r>
        <w:t xml:space="preserve">Contributed to governance and compliance workstreams within the UNCCD Executive Directorate, supporting the review of internal controls and assisting in the documentation of compliance requirements across </w:t>
      </w:r>
      <w:proofErr w:type="spellStart"/>
      <w:r>
        <w:t>organisational</w:t>
      </w:r>
      <w:proofErr w:type="spellEnd"/>
      <w:r>
        <w:t xml:space="preserve"> units; gaining direct exposure to intergovernmental institutional risk frameworks.</w:t>
      </w:r>
    </w:p>
    <w:p w14:paraId="0B1C053C" w14:textId="77777777" w:rsidR="006B55C6" w:rsidRDefault="006B55C6">
      <w:pPr>
        <w:spacing w:before="110" w:after="20"/>
        <w:rPr>
          <w:b/>
          <w:bCs/>
          <w:color w:val="1B3A6B"/>
          <w:sz w:val="19"/>
          <w:szCs w:val="19"/>
        </w:rPr>
      </w:pPr>
    </w:p>
    <w:p w14:paraId="7C0D4935" w14:textId="4C8E533C" w:rsidR="00033373" w:rsidRDefault="00000000">
      <w:pPr>
        <w:spacing w:before="110" w:after="20"/>
      </w:pPr>
      <w:r>
        <w:rPr>
          <w:b/>
          <w:bCs/>
          <w:color w:val="1B3A6B"/>
          <w:sz w:val="19"/>
          <w:szCs w:val="19"/>
        </w:rPr>
        <w:t xml:space="preserve">Security </w:t>
      </w:r>
      <w:proofErr w:type="gramStart"/>
      <w:r>
        <w:rPr>
          <w:b/>
          <w:bCs/>
          <w:color w:val="1B3A6B"/>
          <w:sz w:val="19"/>
          <w:szCs w:val="19"/>
        </w:rPr>
        <w:t>Analyst</w:t>
      </w:r>
      <w:r>
        <w:rPr>
          <w:color w:val="555566"/>
        </w:rPr>
        <w:t xml:space="preserve">  |</w:t>
      </w:r>
      <w:proofErr w:type="gramEnd"/>
      <w:r>
        <w:rPr>
          <w:color w:val="555566"/>
        </w:rPr>
        <w:t xml:space="preserve">  </w:t>
      </w:r>
      <w:r>
        <w:rPr>
          <w:b/>
          <w:bCs/>
          <w:color w:val="2E5FAA"/>
        </w:rPr>
        <w:t xml:space="preserve">Oceanic </w:t>
      </w:r>
      <w:proofErr w:type="gramStart"/>
      <w:r>
        <w:rPr>
          <w:b/>
          <w:bCs/>
          <w:color w:val="2E5FAA"/>
        </w:rPr>
        <w:t>Bank</w:t>
      </w:r>
      <w:r>
        <w:rPr>
          <w:color w:val="555566"/>
        </w:rPr>
        <w:t xml:space="preserve">  |</w:t>
      </w:r>
      <w:proofErr w:type="gramEnd"/>
      <w:r>
        <w:rPr>
          <w:color w:val="555566"/>
        </w:rPr>
        <w:t xml:space="preserve">  Suleja, </w:t>
      </w:r>
      <w:proofErr w:type="gramStart"/>
      <w:r>
        <w:rPr>
          <w:color w:val="555566"/>
        </w:rPr>
        <w:t>Nigeria  |</w:t>
      </w:r>
      <w:proofErr w:type="gramEnd"/>
      <w:r>
        <w:rPr>
          <w:color w:val="555566"/>
        </w:rPr>
        <w:t xml:space="preserve">  </w:t>
      </w:r>
      <w:r>
        <w:rPr>
          <w:i/>
          <w:iCs/>
          <w:color w:val="555566"/>
        </w:rPr>
        <w:t>March 2008 – September 2009</w:t>
      </w:r>
    </w:p>
    <w:p w14:paraId="24BE68AC" w14:textId="77777777" w:rsidR="00033373" w:rsidRDefault="00000000">
      <w:pPr>
        <w:pStyle w:val="ListParagraph"/>
        <w:numPr>
          <w:ilvl w:val="0"/>
          <w:numId w:val="3"/>
        </w:numPr>
        <w:spacing w:before="20" w:after="20"/>
      </w:pPr>
      <w:r>
        <w:t>Delivered cross-departmental cybersecurity risk evaluations for technology and infrastructure projects, translating technical findings into executive-level risk language to support timely senior leadership decisions.</w:t>
      </w:r>
    </w:p>
    <w:p w14:paraId="37C2500C" w14:textId="77777777" w:rsidR="00033373" w:rsidRDefault="00000000">
      <w:pPr>
        <w:pStyle w:val="ListParagraph"/>
        <w:numPr>
          <w:ilvl w:val="0"/>
          <w:numId w:val="3"/>
        </w:numPr>
        <w:spacing w:before="20" w:after="20"/>
      </w:pPr>
      <w:r>
        <w:t xml:space="preserve">Managed the bank's Vulnerability Management </w:t>
      </w:r>
      <w:proofErr w:type="spellStart"/>
      <w:r>
        <w:t>programme</w:t>
      </w:r>
      <w:proofErr w:type="spellEnd"/>
      <w:r>
        <w:t xml:space="preserve"> end-to-end, coordinating with internal stakeholders to </w:t>
      </w:r>
      <w:proofErr w:type="spellStart"/>
      <w:r>
        <w:t>prioritise</w:t>
      </w:r>
      <w:proofErr w:type="spellEnd"/>
      <w:r>
        <w:t xml:space="preserve"> and track remediation within agreed timelines.</w:t>
      </w:r>
    </w:p>
    <w:p w14:paraId="3485B3BA" w14:textId="77777777" w:rsidR="00033373" w:rsidRDefault="00000000">
      <w:pPr>
        <w:pStyle w:val="ListParagraph"/>
        <w:numPr>
          <w:ilvl w:val="0"/>
          <w:numId w:val="3"/>
        </w:numPr>
        <w:spacing w:before="20" w:after="20"/>
      </w:pPr>
      <w:r>
        <w:t xml:space="preserve">Ran institution-wide security awareness training and produced management progress reports that provided visibility into the </w:t>
      </w:r>
      <w:proofErr w:type="spellStart"/>
      <w:r>
        <w:t>organisation's</w:t>
      </w:r>
      <w:proofErr w:type="spellEnd"/>
      <w:r>
        <w:t xml:space="preserve"> human risk landscape.</w:t>
      </w:r>
    </w:p>
    <w:p w14:paraId="084CB878" w14:textId="77777777" w:rsidR="00033373" w:rsidRDefault="00000000">
      <w:pPr>
        <w:pStyle w:val="ListParagraph"/>
        <w:numPr>
          <w:ilvl w:val="0"/>
          <w:numId w:val="3"/>
        </w:numPr>
        <w:spacing w:before="20" w:after="20"/>
      </w:pPr>
      <w:r>
        <w:t>Carried out intrusion analysis using SIEM and EDR tooling while maintaining disaster recovery and data backup operations to support operational resilience.</w:t>
      </w:r>
    </w:p>
    <w:p w14:paraId="024D9B87" w14:textId="77777777" w:rsidR="00033373" w:rsidRDefault="00033373">
      <w:pPr>
        <w:spacing w:before="40"/>
      </w:pPr>
    </w:p>
    <w:p w14:paraId="76544BE7" w14:textId="77777777" w:rsidR="00033373" w:rsidRDefault="00000000">
      <w:pPr>
        <w:pBdr>
          <w:bottom w:val="single" w:sz="10" w:space="2" w:color="2E5FAA"/>
        </w:pBdr>
        <w:spacing w:before="120" w:after="40"/>
      </w:pPr>
      <w:r>
        <w:rPr>
          <w:b/>
          <w:bCs/>
          <w:color w:val="1B3A6B"/>
          <w:sz w:val="20"/>
          <w:szCs w:val="20"/>
        </w:rPr>
        <w:t>EDUCATION</w:t>
      </w:r>
    </w:p>
    <w:p w14:paraId="1AF0D02A" w14:textId="77777777" w:rsidR="00033373" w:rsidRDefault="00000000">
      <w:pPr>
        <w:spacing w:before="70" w:after="15"/>
      </w:pPr>
      <w:r>
        <w:rPr>
          <w:b/>
          <w:bCs/>
        </w:rPr>
        <w:t xml:space="preserve">Master's Degree, International </w:t>
      </w:r>
      <w:proofErr w:type="gramStart"/>
      <w:r>
        <w:rPr>
          <w:b/>
          <w:bCs/>
        </w:rPr>
        <w:t>Horticulture</w:t>
      </w:r>
      <w:r>
        <w:rPr>
          <w:color w:val="555566"/>
        </w:rPr>
        <w:t xml:space="preserve">  |</w:t>
      </w:r>
      <w:proofErr w:type="gramEnd"/>
      <w:r>
        <w:rPr>
          <w:color w:val="555566"/>
        </w:rPr>
        <w:t xml:space="preserve">  Leibniz </w:t>
      </w:r>
      <w:proofErr w:type="spellStart"/>
      <w:r>
        <w:rPr>
          <w:color w:val="555566"/>
        </w:rPr>
        <w:t>Universitat</w:t>
      </w:r>
      <w:proofErr w:type="spellEnd"/>
      <w:r>
        <w:rPr>
          <w:color w:val="555566"/>
        </w:rPr>
        <w:t xml:space="preserve"> Hannover, </w:t>
      </w:r>
      <w:proofErr w:type="gramStart"/>
      <w:r>
        <w:rPr>
          <w:color w:val="555566"/>
        </w:rPr>
        <w:t>Germany  |</w:t>
      </w:r>
      <w:proofErr w:type="gramEnd"/>
      <w:r>
        <w:rPr>
          <w:color w:val="555566"/>
        </w:rPr>
        <w:t xml:space="preserve">  2010 – 2012</w:t>
      </w:r>
    </w:p>
    <w:p w14:paraId="236E8D63" w14:textId="77777777" w:rsidR="00033373" w:rsidRDefault="00000000">
      <w:pPr>
        <w:spacing w:after="60"/>
      </w:pPr>
      <w:r>
        <w:rPr>
          <w:b/>
          <w:bCs/>
        </w:rPr>
        <w:t xml:space="preserve">BSc, Agricultural </w:t>
      </w:r>
      <w:proofErr w:type="gramStart"/>
      <w:r>
        <w:rPr>
          <w:b/>
          <w:bCs/>
        </w:rPr>
        <w:t>Economics</w:t>
      </w:r>
      <w:r>
        <w:rPr>
          <w:color w:val="555566"/>
        </w:rPr>
        <w:t xml:space="preserve">  |</w:t>
      </w:r>
      <w:proofErr w:type="gramEnd"/>
      <w:r>
        <w:rPr>
          <w:color w:val="555566"/>
        </w:rPr>
        <w:t xml:space="preserve">  Ladoke Akintola University of Technology, </w:t>
      </w:r>
      <w:proofErr w:type="gramStart"/>
      <w:r>
        <w:rPr>
          <w:color w:val="555566"/>
        </w:rPr>
        <w:t>Nigeria  |</w:t>
      </w:r>
      <w:proofErr w:type="gramEnd"/>
      <w:r>
        <w:rPr>
          <w:color w:val="555566"/>
        </w:rPr>
        <w:t xml:space="preserve">  2001 – 2007</w:t>
      </w:r>
    </w:p>
    <w:p w14:paraId="4C9F383B" w14:textId="77777777" w:rsidR="006B55C6" w:rsidRDefault="006B55C6">
      <w:pPr>
        <w:pBdr>
          <w:bottom w:val="single" w:sz="10" w:space="2" w:color="2E5FAA"/>
        </w:pBdr>
        <w:spacing w:before="120" w:after="40"/>
        <w:rPr>
          <w:b/>
          <w:bCs/>
          <w:color w:val="1B3A6B"/>
          <w:sz w:val="20"/>
          <w:szCs w:val="20"/>
        </w:rPr>
      </w:pPr>
    </w:p>
    <w:p w14:paraId="6332D64B" w14:textId="4D017981" w:rsidR="00033373" w:rsidRDefault="00000000">
      <w:pPr>
        <w:pBdr>
          <w:bottom w:val="single" w:sz="10" w:space="2" w:color="2E5FAA"/>
        </w:pBdr>
        <w:spacing w:before="120" w:after="40"/>
      </w:pPr>
      <w:r>
        <w:rPr>
          <w:b/>
          <w:bCs/>
          <w:color w:val="1B3A6B"/>
          <w:sz w:val="20"/>
          <w:szCs w:val="20"/>
        </w:rPr>
        <w:t>CERTIFICATIONS &amp; TECHNICAL SKILLS</w:t>
      </w:r>
    </w:p>
    <w:p w14:paraId="3053F874" w14:textId="77777777" w:rsidR="00033373" w:rsidRDefault="00000000">
      <w:pPr>
        <w:spacing w:before="70" w:after="15"/>
      </w:pPr>
      <w:r>
        <w:rPr>
          <w:b/>
          <w:bCs/>
          <w:color w:val="1B3A6B"/>
        </w:rPr>
        <w:t>Certifications</w:t>
      </w:r>
      <w:proofErr w:type="gramStart"/>
      <w:r>
        <w:rPr>
          <w:b/>
          <w:bCs/>
          <w:color w:val="1B3A6B"/>
        </w:rPr>
        <w:t xml:space="preserve">:  </w:t>
      </w:r>
      <w:r>
        <w:t>ISO</w:t>
      </w:r>
      <w:proofErr w:type="gramEnd"/>
      <w:r>
        <w:t xml:space="preserve"> 27001 Lead Implementer (Competent </w:t>
      </w:r>
      <w:proofErr w:type="gramStart"/>
      <w:r>
        <w:t xml:space="preserve">Level)   </w:t>
      </w:r>
      <w:proofErr w:type="gramEnd"/>
      <w:r>
        <w:t>|   CompTIA Security+   |   ISC2 Certified in Cybersecurity (CC)   |   Cisco Networking Basics   |   Cisco Introduction to Cybersecurity</w:t>
      </w:r>
    </w:p>
    <w:p w14:paraId="206F41A0" w14:textId="77777777" w:rsidR="00033373" w:rsidRDefault="00000000">
      <w:pPr>
        <w:spacing w:before="15" w:after="15"/>
      </w:pPr>
      <w:r>
        <w:rPr>
          <w:b/>
          <w:bCs/>
          <w:color w:val="1B3A6B"/>
        </w:rPr>
        <w:t>Tools &amp; Platforms</w:t>
      </w:r>
      <w:proofErr w:type="gramStart"/>
      <w:r>
        <w:rPr>
          <w:b/>
          <w:bCs/>
          <w:color w:val="1B3A6B"/>
        </w:rPr>
        <w:t xml:space="preserve">:  </w:t>
      </w:r>
      <w:r>
        <w:t>ServiceNow</w:t>
      </w:r>
      <w:proofErr w:type="gramEnd"/>
      <w:r>
        <w:t xml:space="preserve"> (</w:t>
      </w:r>
      <w:proofErr w:type="gramStart"/>
      <w:r>
        <w:t xml:space="preserve">TPRM)   </w:t>
      </w:r>
      <w:proofErr w:type="gramEnd"/>
      <w:r>
        <w:t>|   SIEM &amp; EDR tooling   |   GRC compliance platforms   |   Microsoft 365</w:t>
      </w:r>
    </w:p>
    <w:p w14:paraId="6735558A" w14:textId="77777777" w:rsidR="00033373" w:rsidRDefault="00000000">
      <w:pPr>
        <w:spacing w:before="15" w:after="60"/>
      </w:pPr>
      <w:r>
        <w:rPr>
          <w:b/>
          <w:bCs/>
          <w:color w:val="1B3A6B"/>
        </w:rPr>
        <w:t xml:space="preserve">Frameworks:  </w:t>
      </w:r>
      <w:r>
        <w:t>ISO 27001 / ISO 27005   |   NIST CSF   |   CIS Controls   |   PCI-DSS   |   UK GDPR / GDPR   |   SOC 1 &amp; 2   |   HIPAA / HITECH   |   SIG Questionnaire</w:t>
      </w:r>
    </w:p>
    <w:sectPr w:rsidR="00033373">
      <w:pgSz w:w="11906" w:h="16838"/>
      <w:pgMar w:top="540" w:right="1008" w:bottom="54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97F28"/>
    <w:multiLevelType w:val="hybridMultilevel"/>
    <w:tmpl w:val="E668BF30"/>
    <w:lvl w:ilvl="0" w:tplc="382A32CA">
      <w:start w:val="1"/>
      <w:numFmt w:val="bullet"/>
      <w:lvlText w:val="●"/>
      <w:lvlJc w:val="left"/>
      <w:pPr>
        <w:ind w:left="720" w:hanging="360"/>
      </w:pPr>
    </w:lvl>
    <w:lvl w:ilvl="1" w:tplc="ED30FF9A">
      <w:start w:val="1"/>
      <w:numFmt w:val="bullet"/>
      <w:lvlText w:val="○"/>
      <w:lvlJc w:val="left"/>
      <w:pPr>
        <w:ind w:left="1440" w:hanging="360"/>
      </w:pPr>
    </w:lvl>
    <w:lvl w:ilvl="2" w:tplc="78A0028A">
      <w:start w:val="1"/>
      <w:numFmt w:val="bullet"/>
      <w:lvlText w:val="■"/>
      <w:lvlJc w:val="left"/>
      <w:pPr>
        <w:ind w:left="2160" w:hanging="360"/>
      </w:pPr>
    </w:lvl>
    <w:lvl w:ilvl="3" w:tplc="D18EC150">
      <w:start w:val="1"/>
      <w:numFmt w:val="bullet"/>
      <w:lvlText w:val="●"/>
      <w:lvlJc w:val="left"/>
      <w:pPr>
        <w:ind w:left="2880" w:hanging="360"/>
      </w:pPr>
    </w:lvl>
    <w:lvl w:ilvl="4" w:tplc="D4902246">
      <w:start w:val="1"/>
      <w:numFmt w:val="bullet"/>
      <w:lvlText w:val="○"/>
      <w:lvlJc w:val="left"/>
      <w:pPr>
        <w:ind w:left="3600" w:hanging="360"/>
      </w:pPr>
    </w:lvl>
    <w:lvl w:ilvl="5" w:tplc="5CD6D03C">
      <w:start w:val="1"/>
      <w:numFmt w:val="bullet"/>
      <w:lvlText w:val="■"/>
      <w:lvlJc w:val="left"/>
      <w:pPr>
        <w:ind w:left="4320" w:hanging="360"/>
      </w:pPr>
    </w:lvl>
    <w:lvl w:ilvl="6" w:tplc="089CC5BE">
      <w:start w:val="1"/>
      <w:numFmt w:val="bullet"/>
      <w:lvlText w:val="●"/>
      <w:lvlJc w:val="left"/>
      <w:pPr>
        <w:ind w:left="5040" w:hanging="360"/>
      </w:pPr>
    </w:lvl>
    <w:lvl w:ilvl="7" w:tplc="97623A2E">
      <w:start w:val="1"/>
      <w:numFmt w:val="bullet"/>
      <w:lvlText w:val="●"/>
      <w:lvlJc w:val="left"/>
      <w:pPr>
        <w:ind w:left="5760" w:hanging="360"/>
      </w:pPr>
    </w:lvl>
    <w:lvl w:ilvl="8" w:tplc="3F1C6436">
      <w:start w:val="1"/>
      <w:numFmt w:val="bullet"/>
      <w:lvlText w:val="●"/>
      <w:lvlJc w:val="left"/>
      <w:pPr>
        <w:ind w:left="6480" w:hanging="360"/>
      </w:pPr>
    </w:lvl>
  </w:abstractNum>
  <w:abstractNum w:abstractNumId="1" w15:restartNumberingAfterBreak="0">
    <w:nsid w:val="4BAA7C24"/>
    <w:multiLevelType w:val="hybridMultilevel"/>
    <w:tmpl w:val="A3FA490A"/>
    <w:lvl w:ilvl="0" w:tplc="8870A4BA">
      <w:start w:val="1"/>
      <w:numFmt w:val="bullet"/>
      <w:lvlText w:val="•"/>
      <w:lvlJc w:val="left"/>
      <w:pPr>
        <w:ind w:left="280" w:hanging="180"/>
      </w:pPr>
    </w:lvl>
    <w:lvl w:ilvl="1" w:tplc="240AE9E4">
      <w:numFmt w:val="decimal"/>
      <w:lvlText w:val=""/>
      <w:lvlJc w:val="left"/>
    </w:lvl>
    <w:lvl w:ilvl="2" w:tplc="78FCD128">
      <w:numFmt w:val="decimal"/>
      <w:lvlText w:val=""/>
      <w:lvlJc w:val="left"/>
    </w:lvl>
    <w:lvl w:ilvl="3" w:tplc="743C88E6">
      <w:numFmt w:val="decimal"/>
      <w:lvlText w:val=""/>
      <w:lvlJc w:val="left"/>
    </w:lvl>
    <w:lvl w:ilvl="4" w:tplc="4A5C403C">
      <w:numFmt w:val="decimal"/>
      <w:lvlText w:val=""/>
      <w:lvlJc w:val="left"/>
    </w:lvl>
    <w:lvl w:ilvl="5" w:tplc="B0B805EC">
      <w:numFmt w:val="decimal"/>
      <w:lvlText w:val=""/>
      <w:lvlJc w:val="left"/>
    </w:lvl>
    <w:lvl w:ilvl="6" w:tplc="955EBCF8">
      <w:numFmt w:val="decimal"/>
      <w:lvlText w:val=""/>
      <w:lvlJc w:val="left"/>
    </w:lvl>
    <w:lvl w:ilvl="7" w:tplc="10D07568">
      <w:numFmt w:val="decimal"/>
      <w:lvlText w:val=""/>
      <w:lvlJc w:val="left"/>
    </w:lvl>
    <w:lvl w:ilvl="8" w:tplc="860E2AF0">
      <w:numFmt w:val="decimal"/>
      <w:lvlText w:val=""/>
      <w:lvlJc w:val="left"/>
    </w:lvl>
  </w:abstractNum>
  <w:abstractNum w:abstractNumId="2" w15:restartNumberingAfterBreak="0">
    <w:nsid w:val="58614F50"/>
    <w:multiLevelType w:val="hybridMultilevel"/>
    <w:tmpl w:val="CEAC33CC"/>
    <w:lvl w:ilvl="0" w:tplc="A45A8150">
      <w:start w:val="1"/>
      <w:numFmt w:val="bullet"/>
      <w:lvlText w:val="•"/>
      <w:lvlJc w:val="left"/>
      <w:pPr>
        <w:ind w:left="480" w:hanging="260"/>
      </w:pPr>
    </w:lvl>
    <w:lvl w:ilvl="1" w:tplc="685891BC">
      <w:numFmt w:val="decimal"/>
      <w:lvlText w:val=""/>
      <w:lvlJc w:val="left"/>
    </w:lvl>
    <w:lvl w:ilvl="2" w:tplc="873233EC">
      <w:numFmt w:val="decimal"/>
      <w:lvlText w:val=""/>
      <w:lvlJc w:val="left"/>
    </w:lvl>
    <w:lvl w:ilvl="3" w:tplc="5A3C0C3A">
      <w:numFmt w:val="decimal"/>
      <w:lvlText w:val=""/>
      <w:lvlJc w:val="left"/>
    </w:lvl>
    <w:lvl w:ilvl="4" w:tplc="5A143346">
      <w:numFmt w:val="decimal"/>
      <w:lvlText w:val=""/>
      <w:lvlJc w:val="left"/>
    </w:lvl>
    <w:lvl w:ilvl="5" w:tplc="8A14C4E6">
      <w:numFmt w:val="decimal"/>
      <w:lvlText w:val=""/>
      <w:lvlJc w:val="left"/>
    </w:lvl>
    <w:lvl w:ilvl="6" w:tplc="59AECB12">
      <w:numFmt w:val="decimal"/>
      <w:lvlText w:val=""/>
      <w:lvlJc w:val="left"/>
    </w:lvl>
    <w:lvl w:ilvl="7" w:tplc="124432F0">
      <w:numFmt w:val="decimal"/>
      <w:lvlText w:val=""/>
      <w:lvlJc w:val="left"/>
    </w:lvl>
    <w:lvl w:ilvl="8" w:tplc="90220A86">
      <w:numFmt w:val="decimal"/>
      <w:lvlText w:val=""/>
      <w:lvlJc w:val="left"/>
    </w:lvl>
  </w:abstractNum>
  <w:num w:numId="1" w16cid:durableId="703209367">
    <w:abstractNumId w:val="0"/>
    <w:lvlOverride w:ilvl="0">
      <w:startOverride w:val="1"/>
    </w:lvlOverride>
  </w:num>
  <w:num w:numId="2" w16cid:durableId="1151217070">
    <w:abstractNumId w:val="1"/>
    <w:lvlOverride w:ilvl="0">
      <w:startOverride w:val="1"/>
    </w:lvlOverride>
  </w:num>
  <w:num w:numId="3" w16cid:durableId="777480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373"/>
    <w:rsid w:val="00033373"/>
    <w:rsid w:val="006B55C6"/>
    <w:rsid w:val="00797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5004D"/>
  <w15:docId w15:val="{C28075DE-7090-4E84-9050-426E2D4B1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1320</Words>
  <Characters>7524</Characters>
  <Application>Microsoft Office Word</Application>
  <DocSecurity>0</DocSecurity>
  <Lines>62</Lines>
  <Paragraphs>17</Paragraphs>
  <ScaleCrop>false</ScaleCrop>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jummy owolabi</cp:lastModifiedBy>
  <cp:revision>2</cp:revision>
  <dcterms:created xsi:type="dcterms:W3CDTF">2026-06-17T21:38:00Z</dcterms:created>
  <dcterms:modified xsi:type="dcterms:W3CDTF">2026-06-17T21:50:00Z</dcterms:modified>
</cp:coreProperties>
</file>