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5276"/>
          <w:sz w:val="52"/>
          <w:szCs w:val="52"/>
        </w:rPr>
        <w:t xml:space="preserve">Global CCUS Deployment Gap Analysis</w:t>
      </w:r>
    </w:p>
    <w:p>
      <w:pPr>
        <w:spacing w:before="0" w:after="80"/>
        <w:jc w:val="center"/>
      </w:pPr>
      <w:r>
        <w:rPr>
          <w:rFonts w:ascii="Arial" w:cs="Arial" w:eastAsia="Arial" w:hAnsi="Arial"/>
          <w:i/>
          <w:iCs/>
          <w:color w:val="555555"/>
          <w:sz w:val="26"/>
          <w:szCs w:val="26"/>
        </w:rPr>
        <w:t xml:space="preserve">An Independent Analysis of the IEA CCUS Projects Database</w:t>
      </w:r>
    </w:p>
    <w:p>
      <w:pPr>
        <w:spacing w:before="0" w:after="80"/>
        <w:jc w:val="center"/>
      </w:pPr>
      <w:r>
        <w:rPr>
          <w:rFonts w:ascii="Arial" w:cs="Arial" w:eastAsia="Arial" w:hAnsi="Arial"/>
          <w:color w:val="888888"/>
          <w:sz w:val="22"/>
          <w:szCs w:val="22"/>
        </w:rPr>
        <w:t xml:space="preserve">olalere123  |  University of Ilorin, Nigeria  |  SEG Member</w:t>
      </w:r>
    </w:p>
    <w:p>
      <w:pPr>
        <w:spacing w:before="0" w:after="480"/>
        <w:jc w:val="center"/>
      </w:pPr>
      <w:r>
        <w:rPr>
          <w:rFonts w:ascii="Arial" w:cs="Arial" w:eastAsia="Arial" w:hAnsi="Arial"/>
          <w:color w:val="888888"/>
          <w:sz w:val="20"/>
          <w:szCs w:val="20"/>
        </w:rPr>
        <w:t xml:space="preserve">Data Source: IEA CCUS Projects Database (IEA, 2025) — CC BY 4.0</w:t>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Research Question</w:t>
      </w:r>
    </w:p>
    <w:p>
      <w:pPr>
        <w:spacing w:before="100" w:after="100"/>
      </w:pPr>
      <w:r>
        <w:rPr>
          <w:rFonts w:ascii="Arial" w:cs="Arial" w:eastAsia="Arial" w:hAnsi="Arial"/>
          <w:b/>
          <w:bCs/>
          <w:sz w:val="22"/>
          <w:szCs w:val="22"/>
        </w:rPr>
        <w:t xml:space="preserve">To what extent does the current global CCUS project landscape address pollution from the most environmentally damaging industrial sectors, and what gaps in deployment threaten environmental targets?</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Methodology</w:t>
      </w:r>
    </w:p>
    <w:p>
      <w:pPr>
        <w:spacing w:before="100" w:after="100"/>
      </w:pPr>
      <w:r>
        <w:rPr>
          <w:rFonts w:ascii="Arial" w:cs="Arial" w:eastAsia="Arial" w:hAnsi="Arial"/>
          <w:b w:val="false"/>
          <w:bCs w:val="false"/>
          <w:sz w:val="22"/>
          <w:szCs w:val="22"/>
        </w:rPr>
        <w:t xml:space="preserve">The IEA CCUS Projects Database (IEA, 2025) was used as the primary data source — a publicly available dataset tracking 1,017 CO₂ capture, transport, storage, and utilisation projects worldwide since the 1970s, with a minimum announced capacity of 100,000 tonnes per year.</w:t>
      </w:r>
    </w:p>
    <w:p>
      <w:r>
        <w:t xml:space="preserve"/>
      </w:r>
    </w:p>
    <w:p>
      <w:pPr>
        <w:spacing w:before="100" w:after="100"/>
      </w:pPr>
      <w:r>
        <w:rPr>
          <w:rFonts w:ascii="Arial" w:cs="Arial" w:eastAsia="Arial" w:hAnsi="Arial"/>
          <w:b w:val="false"/>
          <w:bCs w:val="false"/>
          <w:sz w:val="22"/>
          <w:szCs w:val="22"/>
        </w:rPr>
        <w:t xml:space="preserve">Data preparation was conducted in Python using Jupyter Notebook. This involved renaming columns using snake case, replacing hyphenated null values in the announced capacity column with the column median, dropping columns not relevant to the research questions, and standardising categorical variables. Transport, Storage, and T&amp;S projects were excluded from sector and regional coverage gap analysis as they represent infrastructure development rather than point source emission reduction activity.</w:t>
      </w:r>
    </w:p>
    <w:p>
      <w:r>
        <w:t xml:space="preserve"/>
      </w:r>
    </w:p>
    <w:p>
      <w:pPr>
        <w:spacing w:before="100" w:after="100"/>
      </w:pPr>
      <w:r>
        <w:rPr>
          <w:rFonts w:ascii="Arial" w:cs="Arial" w:eastAsia="Arial" w:hAnsi="Arial"/>
          <w:b w:val="false"/>
          <w:bCs w:val="false"/>
          <w:sz w:val="22"/>
          <w:szCs w:val="22"/>
        </w:rPr>
        <w:t xml:space="preserve">Eleven structured SQL queries were written in PostgreSQL to extract findings across sectoral coverage gaps, regional coverage gaps, FID success rates, operational capture rates, and 2030 pipeline projections. Exploratory data analysis was performed in Python producing heatmaps and grouped bar charts.</w:t>
      </w:r>
    </w:p>
    <w:p>
      <w:r>
        <w:t xml:space="preserve"/>
      </w:r>
    </w:p>
    <w:p>
      <w:pPr>
        <w:spacing w:before="100" w:after="100"/>
      </w:pPr>
      <w:r>
        <w:rPr>
          <w:rFonts w:ascii="Arial" w:cs="Arial" w:eastAsia="Arial" w:hAnsi="Arial"/>
          <w:b w:val="false"/>
          <w:bCs w:val="false"/>
          <w:sz w:val="22"/>
          <w:szCs w:val="22"/>
        </w:rPr>
        <w:t xml:space="preserve">A coverage gap metric was developed to assess alignment between CCUS deployment and environmental need. The metric is defined as the difference between a sector or region's percentage share of global CO₂ emissions and its percentage share of global CCUS projects. Percentage shares were used to normalise across sectors and regions of vastly different sizes — allowing proportional attention to be compared against proportional need on a common scale. A positive coverage gap indicates underservice relative to emission contribution. A negative value indicates disproportionate CCUS attention.</w:t>
      </w:r>
    </w:p>
    <w:p>
      <w:r>
        <w:t xml:space="preserve"/>
      </w:r>
    </w:p>
    <w:p>
      <w:pPr>
        <w:spacing w:before="100" w:after="100"/>
      </w:pPr>
      <w:r>
        <w:rPr>
          <w:rFonts w:ascii="Arial" w:cs="Arial" w:eastAsia="Arial" w:hAnsi="Arial"/>
          <w:b w:val="false"/>
          <w:bCs w:val="false"/>
          <w:sz w:val="22"/>
          <w:szCs w:val="22"/>
        </w:rPr>
        <w:t xml:space="preserve">A Random Forest binary classification model was developed using scikit-learn to forecast 2030 deployment outcomes. Projects with known outcomes — 62 operational and 55 cancelled or decommissioned — were used as training data. Seven features were selected: sector, region, fate of carbon, project type, announcement year, estimated capacity, and hub status. The model was trained with 100 decision trees, a maximum depth of five, and balanced class weights. Performance was evaluated using five-fold cross validation achieving an average accuracy of 86.38%. The trained model was then applied to 897 pipeline projects to generate probability-weighted capacity forecasts for 2030.</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1. Sector Coverage Gap Analysis</w:t>
      </w:r>
    </w:p>
    <w:p>
      <w:pPr>
        <w:spacing w:before="100" w:after="100"/>
      </w:pPr>
      <w:r>
        <w:rPr>
          <w:rFonts w:ascii="Arial" w:cs="Arial" w:eastAsia="Arial" w:hAnsi="Arial"/>
          <w:b w:val="false"/>
          <w:bCs w:val="false"/>
          <w:sz w:val="22"/>
          <w:szCs w:val="22"/>
        </w:rPr>
        <w:t xml:space="preserve">The sector coverage gap metric compares each sector's share of global CO₂ emissions against its share of global CCUS projects. The findings show that CCUS deployment follows commercial convenience rather than environmental urgency.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120"/>
        <w:gridCol w:w="1340"/>
        <w:gridCol w:w="70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Projects</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Capacity (Mt)</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Emissions (Gt)</w:t>
            </w:r>
          </w:p>
        </w:tc>
        <w:tc>
          <w:tcPr>
            <w:tcW w:type="dxa" w:w="1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CCUS</w:t>
            </w:r>
          </w:p>
        </w:tc>
        <w:tc>
          <w:tcPr>
            <w:tcW w:type="dxa" w:w="13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Emissions</w:t>
            </w:r>
          </w:p>
        </w:tc>
        <w:tc>
          <w:tcPr>
            <w:tcW w:type="dxa" w:w="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Power &amp; Heat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196.72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13.8</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38.22%</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Iron &amp; Steel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4.22%</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12.93%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+8.71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13.11%</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Chemicals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0.94</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10.44%</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Natural Gas / LNG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0.245</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-10.78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Hydrogen &amp; Ammonia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123.96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0.92</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-17.42</w:t>
            </w:r>
          </w:p>
        </w:tc>
      </w:tr>
    </w:tbl>
    <w:p>
      <w:r>
        <w:t xml:space="preserve"/>
      </w:r>
    </w:p>
    <w:p>
      <w:pPr>
        <w:spacing w:before="100" w:after="100"/>
      </w:pPr>
      <w:r>
        <w:rPr>
          <w:rFonts w:ascii="Arial" w:cs="Arial" w:eastAsia="Arial" w:hAnsi="Arial"/>
          <w:b w:val="false"/>
          <w:bCs w:val="false"/>
          <w:sz w:val="18"/>
          <w:szCs w:val="18"/>
        </w:rPr>
        <w:t xml:space="preserve">Positive gap = underserved relative to emission contribution. Negative gap = disproportionate CCUS attention.</w:t>
      </w:r>
    </w:p>
    <w:p>
      <w:r>
        <w:t xml:space="preserve"/>
      </w:r>
    </w:p>
    <w:p>
      <w:pPr>
        <w:spacing w:before="100" w:after="100"/>
      </w:pPr>
      <w:r>
        <w:rPr>
          <w:rFonts w:ascii="Arial" w:cs="Arial" w:eastAsia="Arial" w:hAnsi="Arial"/>
          <w:b w:val="false"/>
          <w:bCs w:val="false"/>
          <w:sz w:val="22"/>
          <w:szCs w:val="22"/>
        </w:rPr>
        <w:t xml:space="preserve">Power and Heat produces 68.64% of industrial emissions yet receives only 38.22% of CCUS projects — the largest coverage gap of any sector at +30.42. Iron and Steel carries the second largest gap at +8.71 despite emitting 12.93% of global industrial CO₂. In contrast, Hydrogen and Ammonia — responsible for just 4.58% of emissions — receives 22.00% of all CCUS projects, an overservice of -17.42.</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2. Operational Coverage Gap Analysis</w:t>
      </w:r>
    </w:p>
    <w:p>
      <w:pPr>
        <w:spacing w:before="100" w:after="100"/>
      </w:pPr>
      <w:r>
        <w:rPr>
          <w:rFonts w:ascii="Arial" w:cs="Arial" w:eastAsia="Arial" w:hAnsi="Arial"/>
          <w:b w:val="false"/>
          <w:bCs w:val="false"/>
          <w:sz w:val="22"/>
          <w:szCs w:val="22"/>
        </w:rPr>
        <w:t xml:space="preserve">When filtered to operational projects only, the picture becomes significantly more severe. The three hardest-to-abate sectors collectively capture less than 0.04% of their combined emissions.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300"/>
        <w:gridCol w:w="1300"/>
        <w:gridCol w:w="2100"/>
      </w:tblGrid>
      <w:tr>
        <w:tc>
          <w:tcPr>
            <w:tcW w:type="dxa" w:w="2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Operational Projects</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Capacity (Mt)</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Emissions (Gt)</w:t>
            </w:r>
          </w:p>
        </w:tc>
        <w:tc>
          <w:tcPr>
            <w:tcW w:type="dxa" w:w="2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Captured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0.0125%</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Power &amp; Heat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0.0241%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Iron &amp; Steel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0.0356%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Chemicals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0.4330%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Natural Gas / LNG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32.52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0.245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13.2735%</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Hydrogen &amp; Ammonia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0.0000%</w:t>
            </w:r>
          </w:p>
        </w:tc>
      </w:tr>
    </w:tbl>
    <w:p>
      <w:r>
        <w:t xml:space="preserve"/>
      </w:r>
    </w:p>
    <w:p>
      <w:pPr>
        <w:spacing w:before="100" w:after="100"/>
      </w:pPr>
      <w:r>
        <w:rPr>
          <w:rFonts w:ascii="Arial" w:cs="Arial" w:eastAsia="Arial" w:hAnsi="Arial"/>
          <w:b w:val="false"/>
          <w:bCs w:val="false"/>
          <w:sz w:val="22"/>
          <w:szCs w:val="22"/>
        </w:rPr>
        <w:t xml:space="preserve">Natural Gas processing captures 13.27% of its emissions operationally — 550 times more effective per unit of emission than Power and Heat at 0.0241%. This confirms that CCUS deployment is systematically directed toward commercial opportunity rather than environmental urgency.</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3. Regional Coverage Gap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80"/>
        <w:gridCol w:w="1200"/>
        <w:gridCol w:w="1100"/>
        <w:gridCol w:w="820"/>
        <w:gridCol w:w="1000"/>
        <w:gridCol w:w="760"/>
        <w:gridCol w:w="1100"/>
      </w:tblGrid>
      <w:t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Region</w:t>
            </w:r>
          </w:p>
        </w:tc>
        <w:tc>
          <w:tcPr>
            <w:tcW w:type="dxa" w:w="7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Projects</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Capacity (Mt)</w:t>
            </w:r>
          </w:p>
        </w:tc>
        <w:tc>
          <w:tcPr>
            <w:tcW w:type="dxa" w:w="1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Emissions (Gt)</w:t>
            </w:r>
          </w:p>
        </w:tc>
        <w:tc>
          <w:tcPr>
            <w:tcW w:type="dxa" w:w="8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CCUS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Emissions</w:t>
            </w:r>
          </w:p>
        </w:tc>
        <w:tc>
          <w:tcPr>
            <w:tcW w:type="dxa" w:w="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1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Asia Pacific</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18.184</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53.96%</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Eurasia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2.208</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6.55%</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Isolated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Middle East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2.018</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5.99%</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Emerging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C&amp;S America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1.085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3.22%</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Isolated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Africa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1.100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3.26%</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Isolated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Australia &amp; NZ</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76.84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0.383</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1.14%</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Emerging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North America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1,194.57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5.371</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42.76%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15.94%</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-26.82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Europe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943.87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3.347</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9.93%</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Hub</w:t>
            </w:r>
          </w:p>
        </w:tc>
      </w:tr>
    </w:tbl>
    <w:p>
      <w:r>
        <w:t xml:space="preserve"/>
      </w:r>
    </w:p>
    <w:p>
      <w:pPr>
        <w:spacing w:before="100" w:after="100"/>
      </w:pPr>
      <w:r>
        <w:rPr>
          <w:rFonts w:ascii="Arial" w:cs="Arial" w:eastAsia="Arial" w:hAnsi="Arial"/>
          <w:b w:val="false"/>
          <w:bCs w:val="false"/>
          <w:sz w:val="22"/>
          <w:szCs w:val="22"/>
        </w:rPr>
        <w:t xml:space="preserve">North America and Europe produce 25.87% of global emissions yet control 93.5% of all recorded global CCUS capacity. Africa, Central and South America, and Eurasia combined represent 15 projects for 4.393 Gt of annual emissions. Asia Pacific — responsible for 53.96% of global emissions — holds just 11.13% of CCUS projects, the largest regional gap at +42.83.</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4. Fate of Carbon Analysis</w:t>
      </w:r>
    </w:p>
    <w:p>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Projects</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of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Dedicated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Unknown / Unspecified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15.73%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6.39%</w:t>
            </w:r>
          </w:p>
        </w:tc>
      </w:tr>
    </w:tbl>
    <w:p>
      <w:r>
        <w:t xml:space="preserve"/>
      </w:r>
    </w:p>
    <w:p>
      <w:pPr>
        <w:spacing w:before="100" w:after="100"/>
      </w:pPr>
      <w:r>
        <w:rPr>
          <w:rFonts w:ascii="Arial" w:cs="Arial" w:eastAsia="Arial" w:hAnsi="Arial"/>
          <w:b w:val="false"/>
          <w:bCs w:val="false"/>
          <w:sz w:val="22"/>
          <w:szCs w:val="22"/>
        </w:rPr>
        <w:t xml:space="preserve">Dedicated storage accounts for 70.60% of all projects — 11 times more common than EOR. EOR is most concentrated in commercially convenient sectors — Natural Gas LNG (1.67%) and Chemicals (1.28%). Hard-to-abate sectors including Cement and Hydrogen show zero EOR projects. Power and Heat accounts for 44 of the 160 unknown fate projects, the largest contributor to fate uncertainty.</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5. 2030 Pipeline and FID Analysis</w:t>
      </w:r>
    </w:p>
    <w:p>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70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Projects</w:t>
            </w:r>
          </w:p>
        </w:tc>
        <w:tc>
          <w:tcPr>
            <w:tcW w:type="dxa" w:w="1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Capacity (Mt)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Planned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1,063.08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Under Construction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83.06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Operational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70.48</w:t>
            </w:r>
          </w:p>
        </w:tc>
      </w:tr>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13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587</w:t>
            </w:r>
          </w:p>
        </w:tc>
        <w:tc>
          <w:tcPr>
            <w:tcW w:type="dxa" w:w="1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1,216.62</w:t>
            </w:r>
          </w:p>
        </w:tc>
      </w:tr>
    </w:tbl>
    <w:p>
      <w:r>
        <w:t xml:space="preserve"/>
      </w:r>
    </w:p>
    <w:p>
      <w:pPr>
        <w:spacing w:before="100" w:after="100"/>
      </w:pPr>
      <w:r>
        <w:rPr>
          <w:rFonts w:ascii="Arial" w:cs="Arial" w:eastAsia="Arial" w:hAnsi="Arial"/>
          <w:b w:val="false"/>
          <w:bCs w:val="false"/>
          <w:sz w:val="22"/>
          <w:szCs w:val="22"/>
        </w:rPr>
        <w:t xml:space="preserve">The IEA NZE target is 1,000 Mt per year by 2030. On paper the pipeline of 1,216.62 Mt appears sufficient. However historical FID analysis reveals a success rate of only 11.97% — just 34 of 284 projects that reached Final Investment Decision became operational.</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6. Machine Learning Forecast</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Random Forest Binary Classifier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Training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117 projects (62 operational, 55 cancelled)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Cross-validated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86.38%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Baseline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 feature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Announcement Year (20.38%)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Projected 2030 capacity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~549 Mt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IEA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 Mt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Shortfall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~451 Mt — 45% below target</w:t>
            </w:r>
          </w:p>
        </w:tc>
      </w:tr>
    </w:tbl>
    <w:p>
      <w:r>
        <w:t xml:space="preserve"/>
      </w:r>
    </w:p>
    <w:p>
      <w:pPr>
        <w:spacing w:before="100" w:after="100"/>
      </w:pPr>
      <w:r>
        <w:rPr>
          <w:rFonts w:ascii="Arial" w:cs="Arial" w:eastAsia="Arial" w:hAnsi="Arial"/>
          <w:b w:val="false"/>
          <w:bCs w:val="false"/>
          <w:sz w:val="22"/>
          <w:szCs w:val="22"/>
        </w:rPr>
        <w:t xml:space="preserve">The Random Forest model — trained on 117 historical projects with 86.38% cross-validated accuracy — predicts total operational CCUS capacity will reach approximately 549 Mt by 2030. Both the historical FID rate forecast (~256 Mt) and the ML forecast (~549 Mt) confirm the IEA 1,000 Mt target will not be met. The ML forecast is more optimistic but still represents a 45% shortfall.</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Tools and Methods</w:t>
      </w:r>
    </w:p>
    <w:p>
      <w:pPr>
        <w:spacing w:before="100" w:after="100"/>
      </w:pPr>
      <w:r>
        <w:rPr>
          <w:rFonts w:ascii="Arial" w:cs="Arial" w:eastAsia="Arial" w:hAnsi="Arial"/>
          <w:b w:val="false"/>
          <w:bCs w:val="false"/>
          <w:sz w:val="22"/>
          <w:szCs w:val="22"/>
        </w:rPr>
        <w:t xml:space="preserve">Database: PostgreSQL — 11 structured SQL queries</w:t>
      </w:r>
    </w:p>
    <w:p>
      <w:pPr>
        <w:spacing w:before="100" w:after="100"/>
      </w:pPr>
      <w:r>
        <w:rPr>
          <w:rFonts w:ascii="Arial" w:cs="Arial" w:eastAsia="Arial" w:hAnsi="Arial"/>
          <w:b w:val="false"/>
          <w:bCs w:val="false"/>
          <w:sz w:val="22"/>
          <w:szCs w:val="22"/>
        </w:rPr>
        <w:t xml:space="preserve">Analysis: Python — Jupyter Notebook — Pandas, NumPy, Matplotlib</w:t>
      </w:r>
    </w:p>
    <w:p>
      <w:pPr>
        <w:spacing w:before="100" w:after="100"/>
      </w:pPr>
      <w:r>
        <w:rPr>
          <w:rFonts w:ascii="Arial" w:cs="Arial" w:eastAsia="Arial" w:hAnsi="Arial"/>
          <w:b w:val="false"/>
          <w:bCs w:val="false"/>
          <w:sz w:val="22"/>
          <w:szCs w:val="22"/>
        </w:rPr>
        <w:t xml:space="preserve">Machine Learning: Scikit-learn — Random Forest Classifier</w:t>
      </w:r>
    </w:p>
    <w:p>
      <w:pPr>
        <w:spacing w:before="100" w:after="100"/>
      </w:pPr>
      <w:r>
        <w:rPr>
          <w:rFonts w:ascii="Arial" w:cs="Arial" w:eastAsia="Arial" w:hAnsi="Arial"/>
          <w:b w:val="false"/>
          <w:bCs w:val="false"/>
          <w:sz w:val="22"/>
          <w:szCs w:val="22"/>
        </w:rPr>
        <w:t xml:space="preserve">Visualisation: Power BI</w:t>
      </w:r>
    </w:p>
    <w:p>
      <w:pPr>
        <w:spacing w:before="100" w:after="100"/>
      </w:pPr>
      <w:r>
        <w:rPr>
          <w:rFonts w:ascii="Arial" w:cs="Arial" w:eastAsia="Arial" w:hAnsi="Arial"/>
          <w:b w:val="false"/>
          <w:bCs w:val="false"/>
          <w:sz w:val="22"/>
          <w:szCs w:val="22"/>
        </w:rPr>
        <w:t xml:space="preserve">Data source: IEA CCUS Projects Database (IEA, 2025) — CC BY 4.0</w:t>
      </w:r>
    </w:p>
    <w:p>
      <w:r>
        <w:t xml:space="preserve"/>
      </w:r>
    </w:p>
    <w:p>
      <w:pPr>
        <w:pBdr>
          <w:bottom w:val="single" w:color="1A5276" w:sz="4" w:space="1"/>
        </w:pBdr>
      </w:pPr>
      <w:r>
        <w:t xml:space="preserve"/>
      </w:r>
    </w:p>
    <w:p>
      <w:r>
        <w:t xml:space="preserve"/>
      </w:r>
    </w:p>
    <w:p>
      <w:pPr>
        <w:pStyle w:val="Heading1"/>
        <w:spacing w:before="360" w:after="180"/>
      </w:pPr>
      <w:r>
        <w:rPr>
          <w:rFonts w:ascii="Arial" w:cs="Arial" w:eastAsia="Arial" w:hAnsi="Arial"/>
          <w:b/>
          <w:bCs/>
          <w:color w:val="1A5276"/>
          <w:sz w:val="32"/>
          <w:szCs w:val="32"/>
        </w:rPr>
        <w:t xml:space="preserve">Citation</w:t>
      </w:r>
    </w:p>
    <w:p>
      <w:pPr>
        <w:spacing w:before="100" w:after="100"/>
      </w:pPr>
      <w:r>
        <w:rPr>
          <w:rFonts w:ascii="Arial" w:cs="Arial" w:eastAsia="Arial" w:hAnsi="Arial"/>
          <w:b w:val="false"/>
          <w:bCs w:val="false"/>
          <w:sz w:val="20"/>
          <w:szCs w:val="20"/>
        </w:rPr>
        <w:t xml:space="preserve">IEA (2025), CCUS Projects Database, https://www.iea.org/data-and-statistics/data-product/ccus-projects-database, Licence: CC BY 4.0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Global CCUS Deployment Gap Analysis  |  olalere123  |  University of Ilorin, Nigeria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2026-03-20T17:15:48.343Z</dcterms:created>
  <dcterms:modified xsi:type="dcterms:W3CDTF">2026-03-20T17:15:48.344Z</dcterms:modified>
</cp:coreProperties>
</file>

<file path=docProps/custom.xml><?xml version="1.0" encoding="utf-8"?>
<Properties xmlns="http://schemas.openxmlformats.org/officeDocument/2006/custom-properties" xmlns:vt="http://schemas.openxmlformats.org/officeDocument/2006/docPropsVTypes"/>
</file>