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1628" w:val="clear"/>
        <w:spacing w:before="0" w:after="0"/>
      </w:pPr>
      <w:r>
        <w:t xml:space="preserve"/>
      </w:r>
    </w:p>
    <w:p>
      <w:pPr>
        <w:shd w:fill="0A1628" w:val="clear"/>
        <w:spacing w:before="0" w:after="0"/>
        <w:ind w:left="200"/>
      </w:pPr>
      <w:r>
        <w:rPr>
          <w:rFonts w:ascii="Arial" w:cs="Arial" w:eastAsia="Arial" w:hAnsi="Arial"/>
          <w:b/>
          <w:bCs/>
          <w:color w:val="00B4D8"/>
          <w:sz w:val="52"/>
          <w:szCs w:val="52"/>
        </w:rPr>
        <w:t xml:space="preserve">Patriotic Virtual Telehealth</w:t>
      </w:r>
    </w:p>
    <w:p>
      <w:pPr>
        <w:shd w:fill="0A1628" w:val="clear"/>
        <w:spacing w:before="0" w:after="0"/>
        <w:ind w:left="200"/>
      </w:pPr>
      <w:r>
        <w:rPr>
          <w:rFonts w:ascii="Arial" w:cs="Arial" w:eastAsia="Arial" w:hAnsi="Arial"/>
          <w:b/>
          <w:bCs/>
          <w:color w:val="FFFFFF"/>
          <w:sz w:val="32"/>
          <w:szCs w:val="32"/>
        </w:rPr>
        <w:t xml:space="preserve">Website Copy Update Brief for Developer</w:t>
      </w:r>
    </w:p>
    <w:p>
      <w:pPr>
        <w:shd w:fill="0A1628" w:val="clear"/>
        <w:spacing w:before="100" w:after="0"/>
        <w:ind w:left="200"/>
      </w:pPr>
      <w:r>
        <w:rPr>
          <w:rFonts w:ascii="Arial" w:cs="Arial" w:eastAsia="Arial" w:hAnsi="Arial"/>
          <w:color w:val="8899BB"/>
          <w:sz w:val="22"/>
          <w:szCs w:val="22"/>
        </w:rPr>
        <w:t xml:space="preserve">Radiant Logiq Corporation  ·  March 2026</w:t>
      </w:r>
    </w:p>
    <w:p>
      <w:pPr>
        <w:shd w:fill="0A1628" w:val="clear"/>
        <w:spacing w:before="0" w:after="240"/>
      </w:pPr>
      <w:r>
        <w:t xml:space="preserve"/>
      </w:r>
    </w:p>
    <w:p>
      <w:pPr>
        <w:spacing w:before="200" w:after="0"/>
      </w:pPr>
      <w:r>
        <w:t xml:space="preserve"/>
      </w:r>
    </w:p>
    <w:p>
      <w:pPr>
        <w:pBdr>
          <w:bottom w:val="single" w:color="0A1628" w:sz="6" w:space="2"/>
        </w:pBdr>
        <w:spacing w:before="300" w:after="100"/>
      </w:pPr>
      <w:r>
        <w:rPr>
          <w:rFonts w:ascii="Arial" w:cs="Arial" w:eastAsia="Arial" w:hAnsi="Arial"/>
          <w:b/>
          <w:bCs/>
          <w:color w:val="0A1628"/>
          <w:sz w:val="28"/>
          <w:szCs w:val="28"/>
        </w:rPr>
        <w:t xml:space="preserve">Purpose &amp; Scope</w:t>
      </w:r>
    </w:p>
    <w:p>
      <w:pPr>
        <w:spacing w:before="60" w:after="60"/>
      </w:pPr>
      <w:r>
        <w:rPr>
          <w:rFonts w:ascii="Arial" w:cs="Arial" w:eastAsia="Arial" w:hAnsi="Arial"/>
          <w:color w:val="445566"/>
          <w:sz w:val="22"/>
          <w:szCs w:val="22"/>
        </w:rPr>
        <w:t xml:space="preserve">Keep the general look and most existing patient-facing language the same for LegitScript compliance, while adding subtle RadiantLogiq / NVIDIA / DoseSpot credibility in safe, approved locations.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CE8" w:sz="4"/>
              <w:left w:val="single" w:color="D0DCE8" w:sz="4"/>
              <w:bottom w:val="single" w:color="D0DCE8" w:sz="4"/>
              <w:right w:val="single" w:color="D0DCE8" w:sz="4"/>
            </w:tcBorders>
            <w:shd w:fill="FFE8E8" w:val="clear"/>
            <w:tcMar>
              <w:top w:type="dxa" w:w="80"/>
              <w:left w:type="dxa" w:w="120"/>
              <w:bottom w:type="dxa" w:w="80"/>
              <w:right w:type="dxa" w:w="120"/>
            </w:tcMar>
          </w:tcPr>
          <w:p>
            <w:r>
              <w:rPr>
                <w:rFonts w:ascii="Arial" w:cs="Arial" w:eastAsia="Arial" w:hAnsi="Arial"/>
                <w:b/>
                <w:bCs/>
                <w:color w:val="C0392B"/>
                <w:sz w:val="20"/>
                <w:szCs w:val="20"/>
              </w:rPr>
              <w:t xml:space="preserve">❌  Do NOT change</w:t>
            </w:r>
          </w:p>
        </w:tc>
        <w:tc>
          <w:tcPr>
            <w:tcW w:type="dxa" w:w="7160"/>
            <w:tcBorders>
              <w:top w:val="single" w:color="D0DCE8" w:sz="4"/>
              <w:left w:val="single" w:color="D0DCE8" w:sz="4"/>
              <w:bottom w:val="single" w:color="D0DCE8" w:sz="4"/>
              <w:right w:val="single" w:color="D0DCE8" w:sz="4"/>
            </w:tcBorders>
            <w:shd w:fill="FFF5F5" w:val="clear"/>
            <w:tcMar>
              <w:top w:type="dxa" w:w="80"/>
              <w:left w:type="dxa" w:w="120"/>
              <w:bottom w:type="dxa" w:w="80"/>
              <w:right w:type="dxa" w:w="120"/>
            </w:tcMar>
          </w:tcPr>
          <w:p>
            <w:r>
              <w:rPr>
                <w:rFonts w:ascii="Arial" w:cs="Arial" w:eastAsia="Arial" w:hAnsi="Arial"/>
                <w:color w:val="445566"/>
                <w:sz w:val="20"/>
                <w:szCs w:val="20"/>
              </w:rPr>
              <w:t xml:space="preserve">Medication claims, prescribing language, pricing, medical disclaimers, and core patient workflow copy.</w:t>
            </w:r>
          </w:p>
        </w:tc>
      </w:tr>
      <w:tr>
        <w:tc>
          <w:tcPr>
            <w:tcW w:type="dxa" w:w="2200"/>
            <w:tcBorders>
              <w:top w:val="single" w:color="D0DCE8" w:sz="4"/>
              <w:left w:val="single" w:color="D0DCE8" w:sz="4"/>
              <w:bottom w:val="single" w:color="D0DCE8" w:sz="4"/>
              <w:right w:val="single" w:color="D0DCE8" w:sz="4"/>
            </w:tcBorders>
            <w:shd w:fill="E8F8EE" w:val="clear"/>
            <w:tcMar>
              <w:top w:type="dxa" w:w="80"/>
              <w:left w:type="dxa" w:w="120"/>
              <w:bottom w:type="dxa" w:w="80"/>
              <w:right w:type="dxa" w:w="120"/>
            </w:tcMar>
          </w:tcPr>
          <w:p>
            <w:r>
              <w:rPr>
                <w:rFonts w:ascii="Arial" w:cs="Arial" w:eastAsia="Arial" w:hAnsi="Arial"/>
                <w:b/>
                <w:bCs/>
                <w:color w:val="207040"/>
                <w:sz w:val="20"/>
                <w:szCs w:val="20"/>
              </w:rPr>
              <w:t xml:space="preserve">✅  Safe to add</w:t>
            </w:r>
          </w:p>
        </w:tc>
        <w:tc>
          <w:tcPr>
            <w:tcW w:type="dxa" w:w="7160"/>
            <w:tcBorders>
              <w:top w:val="single" w:color="D0DCE8" w:sz="4"/>
              <w:left w:val="single" w:color="D0DCE8" w:sz="4"/>
              <w:bottom w:val="single" w:color="D0DCE8" w:sz="4"/>
              <w:right w:val="single" w:color="D0DCE8" w:sz="4"/>
            </w:tcBorders>
            <w:shd w:fill="F4FBF6" w:val="clear"/>
            <w:tcMar>
              <w:top w:type="dxa" w:w="80"/>
              <w:left w:type="dxa" w:w="120"/>
              <w:bottom w:type="dxa" w:w="80"/>
              <w:right w:type="dxa" w:w="120"/>
            </w:tcMar>
          </w:tcPr>
          <w:p>
            <w:r>
              <w:rPr>
                <w:rFonts w:ascii="Arial" w:cs="Arial" w:eastAsia="Arial" w:hAnsi="Arial"/>
                <w:color w:val="445566"/>
                <w:sz w:val="20"/>
                <w:szCs w:val="20"/>
              </w:rPr>
              <w:t xml:space="preserve">Short trust-language about RadiantLogiq, NVIDIA Inception program membership, DoseSpot integration, physician-founded platform, and provider-facing workflow optimization.</w:t>
            </w:r>
          </w:p>
        </w:tc>
      </w:tr>
    </w:tbl>
    <w:p>
      <w:pPr>
        <w:spacing w:before="200" w:after="0"/>
      </w:pPr>
      <w:r>
        <w:t xml:space="preserve"/>
      </w:r>
    </w:p>
    <w:p>
      <w:pPr>
        <w:pBdr>
          <w:bottom w:val="single" w:color="0A1628" w:sz="6" w:space="2"/>
        </w:pBdr>
        <w:spacing w:before="300" w:after="100"/>
      </w:pPr>
      <w:r>
        <w:rPr>
          <w:rFonts w:ascii="Arial" w:cs="Arial" w:eastAsia="Arial" w:hAnsi="Arial"/>
          <w:b/>
          <w:bCs/>
          <w:color w:val="0A1628"/>
          <w:sz w:val="28"/>
          <w:szCs w:val="28"/>
        </w:rPr>
        <w:t xml:space="preserve">Section 1: NVIDIA Inception Program — Brand Compliance Rules</w:t>
      </w:r>
    </w:p>
    <w:p>
      <w:pPr>
        <w:spacing w:before="60" w:after="60"/>
      </w:pPr>
      <w:r>
        <w:rPr>
          <w:rFonts w:ascii="Arial" w:cs="Arial" w:eastAsia="Arial" w:hAnsi="Arial"/>
          <w:color w:val="445566"/>
          <w:sz w:val="22"/>
          <w:szCs w:val="22"/>
        </w:rPr>
        <w:t xml:space="preserve">All references to NVIDIA and the NVIDIA Inception program on the website must follow official NVIDIA brand guidelines (brand.nvidia.com). The rules below are taken directly from those guidelines and are non-negotiable.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796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D0DCE8" w:sz="4"/>
              <w:left w:val="single" w:color="D0DCE8" w:sz="4"/>
              <w:bottom w:val="single" w:color="D0DCE8" w:sz="4"/>
              <w:right w:val="single" w:color="D0DCE8" w:sz="4"/>
            </w:tcBorders>
            <w:shd w:fill="FFFFFF" w:val="clear"/>
            <w:tcMar>
              <w:top w:type="dxa" w:w="60"/>
              <w:left w:type="dxa" w:w="120"/>
              <w:bottom w:type="dxa" w:w="60"/>
              <w:right w:type="dxa" w:w="120"/>
            </w:tcMar>
          </w:tcPr>
          <w:p>
            <w:r>
              <w:rPr>
                <w:rFonts w:ascii="Arial" w:cs="Arial" w:eastAsia="Arial" w:hAnsi="Arial"/>
                <w:b/>
                <w:bCs/>
                <w:color w:val="76B900"/>
                <w:sz w:val="20"/>
                <w:szCs w:val="20"/>
              </w:rPr>
              <w:t xml:space="preserve">✅  DO</w:t>
            </w:r>
          </w:p>
        </w:tc>
        <w:tc>
          <w:tcPr>
            <w:tcW w:type="dxa" w:w="7960"/>
            <w:tcBorders>
              <w:top w:val="single" w:color="D0DCE8" w:sz="4"/>
              <w:left w:val="single" w:color="D0DCE8" w:sz="4"/>
              <w:bottom w:val="single" w:color="D0DCE8" w:sz="4"/>
              <w:right w:val="single" w:color="D0DCE8" w:sz="4"/>
            </w:tcBorders>
            <w:shd w:fill="FFFFFF" w:val="clear"/>
            <w:tcMar>
              <w:top w:type="dxa" w:w="60"/>
              <w:left w:type="dxa" w:w="120"/>
              <w:bottom w:type="dxa" w:w="60"/>
              <w:right w:type="dxa" w:w="120"/>
            </w:tcMar>
          </w:tcPr>
          <w:p>
            <w:r>
              <w:rPr>
                <w:rFonts w:ascii="Arial" w:cs="Arial" w:eastAsia="Arial" w:hAnsi="Arial"/>
                <w:color w:val="445566"/>
                <w:sz w:val="20"/>
                <w:szCs w:val="20"/>
              </w:rPr>
              <w:t xml:space="preserve">Say: member of the NVIDIA Inception program (lowercase p in sentences)</w:t>
            </w:r>
          </w:p>
        </w:tc>
      </w:tr>
      <w:tr>
        <w:tc>
          <w:tcPr>
            <w:tcW w:type="dxa" w:w="1400"/>
            <w:tcBorders>
              <w:top w:val="single" w:color="D0DCE8" w:sz="4"/>
              <w:left w:val="single" w:color="D0DCE8" w:sz="4"/>
              <w:bottom w:val="single" w:color="D0DCE8" w:sz="4"/>
              <w:right w:val="single" w:color="D0DCE8" w:sz="4"/>
            </w:tcBorders>
            <w:shd w:fill="F2F6FA" w:val="clear"/>
            <w:tcMar>
              <w:top w:type="dxa" w:w="60"/>
              <w:left w:type="dxa" w:w="120"/>
              <w:bottom w:type="dxa" w:w="60"/>
              <w:right w:type="dxa" w:w="120"/>
            </w:tcMar>
          </w:tcPr>
          <w:p>
            <w:r>
              <w:rPr>
                <w:rFonts w:ascii="Arial" w:cs="Arial" w:eastAsia="Arial" w:hAnsi="Arial"/>
                <w:b/>
                <w:bCs/>
                <w:color w:val="76B900"/>
                <w:sz w:val="20"/>
                <w:szCs w:val="20"/>
              </w:rPr>
              <w:t xml:space="preserve">✅  DO</w:t>
            </w:r>
          </w:p>
        </w:tc>
        <w:tc>
          <w:tcPr>
            <w:tcW w:type="dxa" w:w="7960"/>
            <w:tcBorders>
              <w:top w:val="single" w:color="D0DCE8" w:sz="4"/>
              <w:left w:val="single" w:color="D0DCE8" w:sz="4"/>
              <w:bottom w:val="single" w:color="D0DCE8" w:sz="4"/>
              <w:right w:val="single" w:color="D0DCE8" w:sz="4"/>
            </w:tcBorders>
            <w:shd w:fill="F2F6FA" w:val="clear"/>
            <w:tcMar>
              <w:top w:type="dxa" w:w="60"/>
              <w:left w:type="dxa" w:w="120"/>
              <w:bottom w:type="dxa" w:w="60"/>
              <w:right w:type="dxa" w:w="120"/>
            </w:tcMar>
          </w:tcPr>
          <w:p>
            <w:r>
              <w:rPr>
                <w:rFonts w:ascii="Arial" w:cs="Arial" w:eastAsia="Arial" w:hAnsi="Arial"/>
                <w:color w:val="445566"/>
                <w:sz w:val="20"/>
                <w:szCs w:val="20"/>
              </w:rPr>
              <w:t xml:space="preserve">Say: NVIDIA Inception Program (capital P) in titles and headlines</w:t>
            </w:r>
          </w:p>
        </w:tc>
      </w:tr>
      <w:tr>
        <w:tc>
          <w:tcPr>
            <w:tcW w:type="dxa" w:w="1400"/>
            <w:tcBorders>
              <w:top w:val="single" w:color="D0DCE8" w:sz="4"/>
              <w:left w:val="single" w:color="D0DCE8" w:sz="4"/>
              <w:bottom w:val="single" w:color="D0DCE8" w:sz="4"/>
              <w:right w:val="single" w:color="D0DCE8" w:sz="4"/>
            </w:tcBorders>
            <w:shd w:fill="FFFFFF" w:val="clear"/>
            <w:tcMar>
              <w:top w:type="dxa" w:w="60"/>
              <w:left w:type="dxa" w:w="120"/>
              <w:bottom w:type="dxa" w:w="60"/>
              <w:right w:type="dxa" w:w="120"/>
            </w:tcMar>
          </w:tcPr>
          <w:p>
            <w:r>
              <w:rPr>
                <w:rFonts w:ascii="Arial" w:cs="Arial" w:eastAsia="Arial" w:hAnsi="Arial"/>
                <w:b/>
                <w:bCs/>
                <w:color w:val="76B900"/>
                <w:sz w:val="20"/>
                <w:szCs w:val="20"/>
              </w:rPr>
              <w:t xml:space="preserve">✅  DO</w:t>
            </w:r>
          </w:p>
        </w:tc>
        <w:tc>
          <w:tcPr>
            <w:tcW w:type="dxa" w:w="7960"/>
            <w:tcBorders>
              <w:top w:val="single" w:color="D0DCE8" w:sz="4"/>
              <w:left w:val="single" w:color="D0DCE8" w:sz="4"/>
              <w:bottom w:val="single" w:color="D0DCE8" w:sz="4"/>
              <w:right w:val="single" w:color="D0DCE8" w:sz="4"/>
            </w:tcBorders>
            <w:shd w:fill="FFFFFF" w:val="clear"/>
            <w:tcMar>
              <w:top w:type="dxa" w:w="60"/>
              <w:left w:type="dxa" w:w="120"/>
              <w:bottom w:type="dxa" w:w="60"/>
              <w:right w:type="dxa" w:w="120"/>
            </w:tcMar>
          </w:tcPr>
          <w:p>
            <w:r>
              <w:rPr>
                <w:rFonts w:ascii="Arial" w:cs="Arial" w:eastAsia="Arial" w:hAnsi="Arial"/>
                <w:color w:val="445566"/>
                <w:sz w:val="20"/>
                <w:szCs w:val="20"/>
              </w:rPr>
              <w:t xml:space="preserve">Use the official NVIDIA Inception Program badge in marketing materials</w:t>
            </w:r>
          </w:p>
        </w:tc>
      </w:tr>
      <w:tr>
        <w:tc>
          <w:tcPr>
            <w:tcW w:type="dxa" w:w="1400"/>
            <w:tcBorders>
              <w:top w:val="single" w:color="D0DCE8" w:sz="4"/>
              <w:left w:val="single" w:color="D0DCE8" w:sz="4"/>
              <w:bottom w:val="single" w:color="D0DCE8" w:sz="4"/>
              <w:right w:val="single" w:color="D0DCE8" w:sz="4"/>
            </w:tcBorders>
            <w:shd w:fill="F2F6FA" w:val="clear"/>
            <w:tcMar>
              <w:top w:type="dxa" w:w="60"/>
              <w:left w:type="dxa" w:w="120"/>
              <w:bottom w:type="dxa" w:w="60"/>
              <w:right w:type="dxa" w:w="120"/>
            </w:tcMar>
          </w:tcPr>
          <w:p>
            <w:r>
              <w:rPr>
                <w:rFonts w:ascii="Arial" w:cs="Arial" w:eastAsia="Arial" w:hAnsi="Arial"/>
                <w:b/>
                <w:bCs/>
                <w:color w:val="76B900"/>
                <w:sz w:val="20"/>
                <w:szCs w:val="20"/>
              </w:rPr>
              <w:t xml:space="preserve">✅  DO</w:t>
            </w:r>
          </w:p>
        </w:tc>
        <w:tc>
          <w:tcPr>
            <w:tcW w:type="dxa" w:w="7960"/>
            <w:tcBorders>
              <w:top w:val="single" w:color="D0DCE8" w:sz="4"/>
              <w:left w:val="single" w:color="D0DCE8" w:sz="4"/>
              <w:bottom w:val="single" w:color="D0DCE8" w:sz="4"/>
              <w:right w:val="single" w:color="D0DCE8" w:sz="4"/>
            </w:tcBorders>
            <w:shd w:fill="F2F6FA" w:val="clear"/>
            <w:tcMar>
              <w:top w:type="dxa" w:w="60"/>
              <w:left w:type="dxa" w:w="120"/>
              <w:bottom w:type="dxa" w:w="60"/>
              <w:right w:type="dxa" w:w="120"/>
            </w:tcMar>
          </w:tcPr>
          <w:p>
            <w:r>
              <w:rPr>
                <w:rFonts w:ascii="Arial" w:cs="Arial" w:eastAsia="Arial" w:hAnsi="Arial"/>
                <w:color w:val="445566"/>
                <w:sz w:val="20"/>
                <w:szCs w:val="20"/>
              </w:rPr>
              <w:t xml:space="preserve">Use #NVIDIAInception on all social media posts referencing the program</w:t>
            </w:r>
          </w:p>
        </w:tc>
      </w:tr>
      <w:tr>
        <w:tc>
          <w:tcPr>
            <w:tcW w:type="dxa" w:w="1400"/>
            <w:tcBorders>
              <w:top w:val="single" w:color="D0DCE8" w:sz="4"/>
              <w:left w:val="single" w:color="D0DCE8" w:sz="4"/>
              <w:bottom w:val="single" w:color="D0DCE8" w:sz="4"/>
              <w:right w:val="single" w:color="D0DCE8" w:sz="4"/>
            </w:tcBorders>
            <w:shd w:fill="FFFFFF" w:val="clear"/>
            <w:tcMar>
              <w:top w:type="dxa" w:w="60"/>
              <w:left w:type="dxa" w:w="120"/>
              <w:bottom w:type="dxa" w:w="60"/>
              <w:right w:type="dxa" w:w="120"/>
            </w:tcMar>
          </w:tcPr>
          <w:p>
            <w:r>
              <w:rPr>
                <w:rFonts w:ascii="Arial" w:cs="Arial" w:eastAsia="Arial" w:hAnsi="Arial"/>
                <w:b/>
                <w:bCs/>
                <w:color w:val="76B900"/>
                <w:sz w:val="20"/>
                <w:szCs w:val="20"/>
              </w:rPr>
              <w:t xml:space="preserve">✅  DO</w:t>
            </w:r>
          </w:p>
        </w:tc>
        <w:tc>
          <w:tcPr>
            <w:tcW w:type="dxa" w:w="7960"/>
            <w:tcBorders>
              <w:top w:val="single" w:color="D0DCE8" w:sz="4"/>
              <w:left w:val="single" w:color="D0DCE8" w:sz="4"/>
              <w:bottom w:val="single" w:color="D0DCE8" w:sz="4"/>
              <w:right w:val="single" w:color="D0DCE8" w:sz="4"/>
            </w:tcBorders>
            <w:shd w:fill="FFFFFF" w:val="clear"/>
            <w:tcMar>
              <w:top w:type="dxa" w:w="60"/>
              <w:left w:type="dxa" w:w="120"/>
              <w:bottom w:type="dxa" w:w="60"/>
              <w:right w:type="dxa" w:w="120"/>
            </w:tcMar>
          </w:tcPr>
          <w:p>
            <w:r>
              <w:rPr>
                <w:rFonts w:ascii="Arial" w:cs="Arial" w:eastAsia="Arial" w:hAnsi="Arial"/>
                <w:color w:val="445566"/>
                <w:sz w:val="20"/>
                <w:szCs w:val="20"/>
              </w:rPr>
              <w:t xml:space="preserve">Include NVIDIA trademark line in any asset using the badge or NVIDIA name</w:t>
            </w:r>
          </w:p>
        </w:tc>
      </w:tr>
      <w:tr>
        <w:tc>
          <w:tcPr>
            <w:tcW w:type="dxa" w:w="1400"/>
            <w:tcBorders>
              <w:top w:val="single" w:color="D0DCE8" w:sz="4"/>
              <w:left w:val="single" w:color="D0DCE8" w:sz="4"/>
              <w:bottom w:val="single" w:color="D0DCE8" w:sz="4"/>
              <w:right w:val="single" w:color="D0DCE8" w:sz="4"/>
            </w:tcBorders>
            <w:shd w:fill="F2F6FA" w:val="clear"/>
            <w:tcMar>
              <w:top w:type="dxa" w:w="60"/>
              <w:left w:type="dxa" w:w="120"/>
              <w:bottom w:type="dxa" w:w="60"/>
              <w:right w:type="dxa" w:w="120"/>
            </w:tcMar>
          </w:tcPr>
          <w:p>
            <w:r>
              <w:rPr>
                <w:rFonts w:ascii="Arial" w:cs="Arial" w:eastAsia="Arial" w:hAnsi="Arial"/>
                <w:b/>
                <w:bCs/>
                <w:color w:val="C0392B"/>
                <w:sz w:val="20"/>
                <w:szCs w:val="20"/>
              </w:rPr>
              <w:t xml:space="preserve">❌  DON'T</w:t>
            </w:r>
          </w:p>
        </w:tc>
        <w:tc>
          <w:tcPr>
            <w:tcW w:type="dxa" w:w="7960"/>
            <w:tcBorders>
              <w:top w:val="single" w:color="D0DCE8" w:sz="4"/>
              <w:left w:val="single" w:color="D0DCE8" w:sz="4"/>
              <w:bottom w:val="single" w:color="D0DCE8" w:sz="4"/>
              <w:right w:val="single" w:color="D0DCE8" w:sz="4"/>
            </w:tcBorders>
            <w:shd w:fill="F2F6FA" w:val="clear"/>
            <w:tcMar>
              <w:top w:type="dxa" w:w="60"/>
              <w:left w:type="dxa" w:w="120"/>
              <w:bottom w:type="dxa" w:w="60"/>
              <w:right w:type="dxa" w:w="120"/>
            </w:tcMar>
          </w:tcPr>
          <w:p>
            <w:r>
              <w:rPr>
                <w:rFonts w:ascii="Arial" w:cs="Arial" w:eastAsia="Arial" w:hAnsi="Arial"/>
                <w:color w:val="445566"/>
                <w:sz w:val="20"/>
                <w:szCs w:val="20"/>
              </w:rPr>
              <w:t xml:space="preserve">Say: partnered with NVIDIA, powered by NVIDIA, or approved by NVIDIA</w:t>
            </w:r>
          </w:p>
        </w:tc>
      </w:tr>
      <w:tr>
        <w:tc>
          <w:tcPr>
            <w:tcW w:type="dxa" w:w="1400"/>
            <w:tcBorders>
              <w:top w:val="single" w:color="D0DCE8" w:sz="4"/>
              <w:left w:val="single" w:color="D0DCE8" w:sz="4"/>
              <w:bottom w:val="single" w:color="D0DCE8" w:sz="4"/>
              <w:right w:val="single" w:color="D0DCE8" w:sz="4"/>
            </w:tcBorders>
            <w:shd w:fill="FFFFFF" w:val="clear"/>
            <w:tcMar>
              <w:top w:type="dxa" w:w="60"/>
              <w:left w:type="dxa" w:w="120"/>
              <w:bottom w:type="dxa" w:w="60"/>
              <w:right w:type="dxa" w:w="120"/>
            </w:tcMar>
          </w:tcPr>
          <w:p>
            <w:r>
              <w:rPr>
                <w:rFonts w:ascii="Arial" w:cs="Arial" w:eastAsia="Arial" w:hAnsi="Arial"/>
                <w:b/>
                <w:bCs/>
                <w:color w:val="C0392B"/>
                <w:sz w:val="20"/>
                <w:szCs w:val="20"/>
              </w:rPr>
              <w:t xml:space="preserve">❌  DON'T</w:t>
            </w:r>
          </w:p>
        </w:tc>
        <w:tc>
          <w:tcPr>
            <w:tcW w:type="dxa" w:w="7960"/>
            <w:tcBorders>
              <w:top w:val="single" w:color="D0DCE8" w:sz="4"/>
              <w:left w:val="single" w:color="D0DCE8" w:sz="4"/>
              <w:bottom w:val="single" w:color="D0DCE8" w:sz="4"/>
              <w:right w:val="single" w:color="D0DCE8" w:sz="4"/>
            </w:tcBorders>
            <w:shd w:fill="FFFFFF" w:val="clear"/>
            <w:tcMar>
              <w:top w:type="dxa" w:w="60"/>
              <w:left w:type="dxa" w:w="120"/>
              <w:bottom w:type="dxa" w:w="60"/>
              <w:right w:type="dxa" w:w="120"/>
            </w:tcMar>
          </w:tcPr>
          <w:p>
            <w:r>
              <w:rPr>
                <w:rFonts w:ascii="Arial" w:cs="Arial" w:eastAsia="Arial" w:hAnsi="Arial"/>
                <w:color w:val="445566"/>
                <w:sz w:val="20"/>
                <w:szCs w:val="20"/>
              </w:rPr>
              <w:t xml:space="preserve">Abbreviate: NV Inception, Inception Program, or Inception alone</w:t>
            </w:r>
          </w:p>
        </w:tc>
      </w:tr>
      <w:tr>
        <w:tc>
          <w:tcPr>
            <w:tcW w:type="dxa" w:w="1400"/>
            <w:tcBorders>
              <w:top w:val="single" w:color="D0DCE8" w:sz="4"/>
              <w:left w:val="single" w:color="D0DCE8" w:sz="4"/>
              <w:bottom w:val="single" w:color="D0DCE8" w:sz="4"/>
              <w:right w:val="single" w:color="D0DCE8" w:sz="4"/>
            </w:tcBorders>
            <w:shd w:fill="F2F6FA" w:val="clear"/>
            <w:tcMar>
              <w:top w:type="dxa" w:w="60"/>
              <w:left w:type="dxa" w:w="120"/>
              <w:bottom w:type="dxa" w:w="60"/>
              <w:right w:type="dxa" w:w="120"/>
            </w:tcMar>
          </w:tcPr>
          <w:p>
            <w:r>
              <w:rPr>
                <w:rFonts w:ascii="Arial" w:cs="Arial" w:eastAsia="Arial" w:hAnsi="Arial"/>
                <w:b/>
                <w:bCs/>
                <w:color w:val="C0392B"/>
                <w:sz w:val="20"/>
                <w:szCs w:val="20"/>
              </w:rPr>
              <w:t xml:space="preserve">❌  DON'T</w:t>
            </w:r>
          </w:p>
        </w:tc>
        <w:tc>
          <w:tcPr>
            <w:tcW w:type="dxa" w:w="7960"/>
            <w:tcBorders>
              <w:top w:val="single" w:color="D0DCE8" w:sz="4"/>
              <w:left w:val="single" w:color="D0DCE8" w:sz="4"/>
              <w:bottom w:val="single" w:color="D0DCE8" w:sz="4"/>
              <w:right w:val="single" w:color="D0DCE8" w:sz="4"/>
            </w:tcBorders>
            <w:shd w:fill="F2F6FA" w:val="clear"/>
            <w:tcMar>
              <w:top w:type="dxa" w:w="60"/>
              <w:left w:type="dxa" w:w="120"/>
              <w:bottom w:type="dxa" w:w="60"/>
              <w:right w:type="dxa" w:w="120"/>
            </w:tcMar>
          </w:tcPr>
          <w:p>
            <w:r>
              <w:rPr>
                <w:rFonts w:ascii="Arial" w:cs="Arial" w:eastAsia="Arial" w:hAnsi="Arial"/>
                <w:color w:val="445566"/>
                <w:sz w:val="20"/>
                <w:szCs w:val="20"/>
              </w:rPr>
              <w:t xml:space="preserve">Misspell: Nvidia Inception Program or NVIDIA INCEPTION PROGRAM</w:t>
            </w:r>
          </w:p>
        </w:tc>
      </w:tr>
      <w:tr>
        <w:tc>
          <w:tcPr>
            <w:tcW w:type="dxa" w:w="1400"/>
            <w:tcBorders>
              <w:top w:val="single" w:color="D0DCE8" w:sz="4"/>
              <w:left w:val="single" w:color="D0DCE8" w:sz="4"/>
              <w:bottom w:val="single" w:color="D0DCE8" w:sz="4"/>
              <w:right w:val="single" w:color="D0DCE8" w:sz="4"/>
            </w:tcBorders>
            <w:shd w:fill="FFFFFF" w:val="clear"/>
            <w:tcMar>
              <w:top w:type="dxa" w:w="60"/>
              <w:left w:type="dxa" w:w="120"/>
              <w:bottom w:type="dxa" w:w="60"/>
              <w:right w:type="dxa" w:w="120"/>
            </w:tcMar>
          </w:tcPr>
          <w:p>
            <w:r>
              <w:rPr>
                <w:rFonts w:ascii="Arial" w:cs="Arial" w:eastAsia="Arial" w:hAnsi="Arial"/>
                <w:b/>
                <w:bCs/>
                <w:color w:val="C0392B"/>
                <w:sz w:val="20"/>
                <w:szCs w:val="20"/>
              </w:rPr>
              <w:t xml:space="preserve">❌  DON'T</w:t>
            </w:r>
          </w:p>
        </w:tc>
        <w:tc>
          <w:tcPr>
            <w:tcW w:type="dxa" w:w="7960"/>
            <w:tcBorders>
              <w:top w:val="single" w:color="D0DCE8" w:sz="4"/>
              <w:left w:val="single" w:color="D0DCE8" w:sz="4"/>
              <w:bottom w:val="single" w:color="D0DCE8" w:sz="4"/>
              <w:right w:val="single" w:color="D0DCE8" w:sz="4"/>
            </w:tcBorders>
            <w:shd w:fill="FFFFFF" w:val="clear"/>
            <w:tcMar>
              <w:top w:type="dxa" w:w="60"/>
              <w:left w:type="dxa" w:w="120"/>
              <w:bottom w:type="dxa" w:w="60"/>
              <w:right w:type="dxa" w:w="120"/>
            </w:tcMar>
          </w:tcPr>
          <w:p>
            <w:r>
              <w:rPr>
                <w:rFonts w:ascii="Arial" w:cs="Arial" w:eastAsia="Arial" w:hAnsi="Arial"/>
                <w:color w:val="445566"/>
                <w:sz w:val="20"/>
                <w:szCs w:val="20"/>
              </w:rPr>
              <w:t xml:space="preserve">Reorder: Inception Program by NVIDIA is not permitted</w:t>
            </w:r>
          </w:p>
        </w:tc>
      </w:tr>
      <w:tr>
        <w:tc>
          <w:tcPr>
            <w:tcW w:type="dxa" w:w="1400"/>
            <w:tcBorders>
              <w:top w:val="single" w:color="D0DCE8" w:sz="4"/>
              <w:left w:val="single" w:color="D0DCE8" w:sz="4"/>
              <w:bottom w:val="single" w:color="D0DCE8" w:sz="4"/>
              <w:right w:val="single" w:color="D0DCE8" w:sz="4"/>
            </w:tcBorders>
            <w:shd w:fill="F2F6FA" w:val="clear"/>
            <w:tcMar>
              <w:top w:type="dxa" w:w="60"/>
              <w:left w:type="dxa" w:w="120"/>
              <w:bottom w:type="dxa" w:w="60"/>
              <w:right w:type="dxa" w:w="120"/>
            </w:tcMar>
          </w:tcPr>
          <w:p>
            <w:r>
              <w:rPr>
                <w:rFonts w:ascii="Arial" w:cs="Arial" w:eastAsia="Arial" w:hAnsi="Arial"/>
                <w:b/>
                <w:bCs/>
                <w:color w:val="C0392B"/>
                <w:sz w:val="20"/>
                <w:szCs w:val="20"/>
              </w:rPr>
              <w:t xml:space="preserve">❌  DON'T</w:t>
            </w:r>
          </w:p>
        </w:tc>
        <w:tc>
          <w:tcPr>
            <w:tcW w:type="dxa" w:w="7960"/>
            <w:tcBorders>
              <w:top w:val="single" w:color="D0DCE8" w:sz="4"/>
              <w:left w:val="single" w:color="D0DCE8" w:sz="4"/>
              <w:bottom w:val="single" w:color="D0DCE8" w:sz="4"/>
              <w:right w:val="single" w:color="D0DCE8" w:sz="4"/>
            </w:tcBorders>
            <w:shd w:fill="F2F6FA" w:val="clear"/>
            <w:tcMar>
              <w:top w:type="dxa" w:w="60"/>
              <w:left w:type="dxa" w:w="120"/>
              <w:bottom w:type="dxa" w:w="60"/>
              <w:right w:type="dxa" w:w="120"/>
            </w:tcMar>
          </w:tcPr>
          <w:p>
            <w:r>
              <w:rPr>
                <w:rFonts w:ascii="Arial" w:cs="Arial" w:eastAsia="Arial" w:hAnsi="Arial"/>
                <w:color w:val="445566"/>
                <w:sz w:val="20"/>
                <w:szCs w:val="20"/>
              </w:rPr>
              <w:t xml:space="preserve">Change badge colors, proportions, or alter badge text</w:t>
            </w:r>
          </w:p>
        </w:tc>
      </w:tr>
      <w:tr>
        <w:tc>
          <w:tcPr>
            <w:tcW w:type="dxa" w:w="1400"/>
            <w:tcBorders>
              <w:top w:val="single" w:color="D0DCE8" w:sz="4"/>
              <w:left w:val="single" w:color="D0DCE8" w:sz="4"/>
              <w:bottom w:val="single" w:color="D0DCE8" w:sz="4"/>
              <w:right w:val="single" w:color="D0DCE8" w:sz="4"/>
            </w:tcBorders>
            <w:shd w:fill="FFFFFF" w:val="clear"/>
            <w:tcMar>
              <w:top w:type="dxa" w:w="60"/>
              <w:left w:type="dxa" w:w="120"/>
              <w:bottom w:type="dxa" w:w="60"/>
              <w:right w:type="dxa" w:w="120"/>
            </w:tcMar>
          </w:tcPr>
          <w:p>
            <w:r>
              <w:rPr>
                <w:rFonts w:ascii="Arial" w:cs="Arial" w:eastAsia="Arial" w:hAnsi="Arial"/>
                <w:b/>
                <w:bCs/>
                <w:color w:val="C0392B"/>
                <w:sz w:val="20"/>
                <w:szCs w:val="20"/>
              </w:rPr>
              <w:t xml:space="preserve">❌  DON'T</w:t>
            </w:r>
          </w:p>
        </w:tc>
        <w:tc>
          <w:tcPr>
            <w:tcW w:type="dxa" w:w="7960"/>
            <w:tcBorders>
              <w:top w:val="single" w:color="D0DCE8" w:sz="4"/>
              <w:left w:val="single" w:color="D0DCE8" w:sz="4"/>
              <w:bottom w:val="single" w:color="D0DCE8" w:sz="4"/>
              <w:right w:val="single" w:color="D0DCE8" w:sz="4"/>
            </w:tcBorders>
            <w:shd w:fill="FFFFFF" w:val="clear"/>
            <w:tcMar>
              <w:top w:type="dxa" w:w="60"/>
              <w:left w:type="dxa" w:w="120"/>
              <w:bottom w:type="dxa" w:w="60"/>
              <w:right w:type="dxa" w:w="120"/>
            </w:tcMar>
          </w:tcPr>
          <w:p>
            <w:r>
              <w:rPr>
                <w:rFonts w:ascii="Arial" w:cs="Arial" w:eastAsia="Arial" w:hAnsi="Arial"/>
                <w:color w:val="445566"/>
                <w:sz w:val="20"/>
                <w:szCs w:val="20"/>
              </w:rPr>
              <w:t xml:space="preserve">Make the NVIDIA badge larger than your own company logo</w:t>
            </w:r>
          </w:p>
        </w:tc>
      </w:tr>
    </w:tbl>
    <w:p>
      <w:pPr>
        <w:spacing w:before="120" w:after="0"/>
      </w:pPr>
      <w:r>
        <w:t xml:space="preserve"/>
      </w:r>
    </w:p>
    <w:p>
      <w:pPr>
        <w:spacing w:before="240" w:after="80"/>
      </w:pPr>
      <w:r>
        <w:rPr>
          <w:rFonts w:ascii="Arial" w:cs="Arial" w:eastAsia="Arial" w:hAnsi="Arial"/>
          <w:b/>
          <w:bCs/>
          <w:color w:val="00B4D8"/>
          <w:sz w:val="24"/>
          <w:szCs w:val="24"/>
        </w:rPr>
        <w:t xml:space="preserve">Required Legal Attribution</w:t>
      </w:r>
    </w:p>
    <w:p>
      <w:pPr>
        <w:spacing w:before="60" w:after="60"/>
      </w:pPr>
      <w:r>
        <w:rPr>
          <w:rFonts w:ascii="Arial" w:cs="Arial" w:eastAsia="Arial" w:hAnsi="Arial"/>
          <w:color w:val="445566"/>
          <w:sz w:val="22"/>
          <w:szCs w:val="22"/>
        </w:rPr>
        <w:t xml:space="preserve">Any time the NVIDIA Inception Program badge is displayed or NVIDIA is referenced as a trademark on a webpage, email blast, or print asset, include the following legal line verbatim (fill in trademarks used):</w:t>
      </w:r>
    </w:p>
    <w:p>
      <w:pPr>
        <w:spacing w:before="100" w:after="40"/>
        <w:ind w:left="240"/>
      </w:pPr>
      <w:r>
        <w:rPr>
          <w:rFonts w:ascii="Arial" w:cs="Arial" w:eastAsia="Arial" w:hAnsi="Arial"/>
          <w:b/>
          <w:bCs/>
          <w:color w:val="00B4D8"/>
          <w:sz w:val="20"/>
          <w:szCs w:val="20"/>
        </w:rPr>
        <w:t xml:space="preserve">NVIDIA Trademark Attribution Line (required whenever badge is shown)</w:t>
      </w:r>
    </w:p>
    <w:p>
      <w:pPr>
        <w:pBdr>
          <w:left w:val="single" w:color="00B4D8" w:sz="12" w:space="4"/>
        </w:pBdr>
        <w:shd w:fill="F0F7FB" w:val="clear"/>
        <w:spacing w:before="40" w:after="80"/>
        <w:ind w:left="240" w:right="240"/>
      </w:pPr>
      <w:r>
        <w:rPr>
          <w:rFonts w:ascii="Arial" w:cs="Arial" w:eastAsia="Arial" w:hAnsi="Arial"/>
          <w:i/>
          <w:iCs/>
          <w:color w:val="0A1628"/>
          <w:sz w:val="22"/>
          <w:szCs w:val="22"/>
        </w:rPr>
        <w:t xml:space="preserve">"© 2025 NVIDIA, the NVIDIA logo, and NVIDIA Inception Program are trademarks and/or registered trademarks of NVIDIA Corporation in the U.S. and other countries."</w:t>
      </w:r>
    </w:p>
    <w:p>
      <w:pPr>
        <w:pBdr>
          <w:left w:val="single" w:color="F7931E" w:sz="12" w:space="4"/>
        </w:pBdr>
        <w:shd w:fill="FFF8F0" w:val="clear"/>
        <w:spacing w:before="60" w:after="80"/>
        <w:ind w:left="360"/>
      </w:pPr>
      <w:r>
        <w:rPr>
          <w:rFonts w:ascii="Arial" w:cs="Arial" w:eastAsia="Arial" w:hAnsi="Arial"/>
          <w:b/>
          <w:bCs/>
          <w:color w:val="F7931E"/>
          <w:sz w:val="20"/>
          <w:szCs w:val="20"/>
        </w:rPr>
        <w:t xml:space="preserve">Developer note: </w:t>
      </w:r>
      <w:r>
        <w:rPr>
          <w:rFonts w:ascii="Arial" w:cs="Arial" w:eastAsia="Arial" w:hAnsi="Arial"/>
          <w:color w:val="445566"/>
          <w:sz w:val="20"/>
          <w:szCs w:val="20"/>
        </w:rPr>
        <w:t xml:space="preserve">Place this in the page footer or immediately below any section that displays the NVIDIA Inception Program badge. This is a hard requirement from NVIDIA brand.nvidia.com.</w:t>
      </w:r>
    </w:p>
    <w:p>
      <w:pPr>
        <w:spacing w:before="80" w:after="0"/>
      </w:pPr>
      <w:r>
        <w:t xml:space="preserve"/>
      </w:r>
    </w:p>
    <w:p>
      <w:pPr>
        <w:spacing w:before="240" w:after="80"/>
      </w:pPr>
      <w:r>
        <w:rPr>
          <w:rFonts w:ascii="Arial" w:cs="Arial" w:eastAsia="Arial" w:hAnsi="Arial"/>
          <w:b/>
          <w:bCs/>
          <w:color w:val="00B4D8"/>
          <w:sz w:val="24"/>
          <w:szCs w:val="24"/>
        </w:rPr>
        <w:t xml:space="preserve">Badge Usage</w:t>
      </w:r>
    </w:p>
    <w:p>
      <w:pPr>
        <w:spacing w:before="60" w:after="60"/>
      </w:pPr>
      <w:r>
        <w:rPr>
          <w:rFonts w:ascii="Arial" w:cs="Arial" w:eastAsia="Arial" w:hAnsi="Arial"/>
          <w:color w:val="445566"/>
          <w:sz w:val="22"/>
          <w:szCs w:val="22"/>
        </w:rPr>
        <w:t xml:space="preserve">The official NVIDIA Inception Program badge is available for download at brand.nvidia.com. Key rules:</w:t>
      </w:r>
    </w:p>
    <w:p>
      <w:pPr>
        <w:spacing w:before="80" w:after="40"/>
        <w:ind w:left="180"/>
      </w:pPr>
      <w:r>
        <w:rPr>
          <w:rFonts w:ascii="Arial" w:cs="Arial" w:eastAsia="Arial" w:hAnsi="Arial"/>
          <w:sz w:val="22"/>
          <w:szCs w:val="22"/>
        </w:rPr>
        <w:t xml:space="preserve">✅  </w:t>
      </w:r>
      <w:r>
        <w:rPr>
          <w:rFonts w:ascii="Arial" w:cs="Arial" w:eastAsia="Arial" w:hAnsi="Arial"/>
          <w:b/>
          <w:bCs/>
          <w:color w:val="0A1628"/>
          <w:sz w:val="22"/>
          <w:szCs w:val="22"/>
        </w:rPr>
        <w:t xml:space="preserve">Colors: </w:t>
      </w:r>
      <w:r>
        <w:rPr>
          <w:rFonts w:ascii="Arial" w:cs="Arial" w:eastAsia="Arial" w:hAnsi="Arial"/>
          <w:color w:val="445566"/>
          <w:sz w:val="22"/>
          <w:szCs w:val="22"/>
        </w:rPr>
        <w:t xml:space="preserve">Do not change badge colors (NVIDIA Green #76B900, Black, White)</w:t>
      </w:r>
    </w:p>
    <w:p>
      <w:pPr>
        <w:spacing w:before="80" w:after="40"/>
        <w:ind w:left="180"/>
      </w:pPr>
      <w:r>
        <w:rPr>
          <w:rFonts w:ascii="Arial" w:cs="Arial" w:eastAsia="Arial" w:hAnsi="Arial"/>
          <w:sz w:val="22"/>
          <w:szCs w:val="22"/>
        </w:rPr>
        <w:t xml:space="preserve">✅  </w:t>
      </w:r>
      <w:r>
        <w:rPr>
          <w:rFonts w:ascii="Arial" w:cs="Arial" w:eastAsia="Arial" w:hAnsi="Arial"/>
          <w:b/>
          <w:bCs/>
          <w:color w:val="0A1628"/>
          <w:sz w:val="22"/>
          <w:szCs w:val="22"/>
        </w:rPr>
        <w:t xml:space="preserve">Proportions: </w:t>
      </w:r>
      <w:r>
        <w:rPr>
          <w:rFonts w:ascii="Arial" w:cs="Arial" w:eastAsia="Arial" w:hAnsi="Arial"/>
          <w:color w:val="445566"/>
          <w:sz w:val="22"/>
          <w:szCs w:val="22"/>
        </w:rPr>
        <w:t xml:space="preserve">Do not resize or distort the badge</w:t>
      </w:r>
    </w:p>
    <w:p>
      <w:pPr>
        <w:spacing w:before="80" w:after="40"/>
        <w:ind w:left="180"/>
      </w:pPr>
      <w:r>
        <w:rPr>
          <w:rFonts w:ascii="Arial" w:cs="Arial" w:eastAsia="Arial" w:hAnsi="Arial"/>
          <w:sz w:val="22"/>
          <w:szCs w:val="22"/>
        </w:rPr>
        <w:t xml:space="preserve">✅  </w:t>
      </w:r>
      <w:r>
        <w:rPr>
          <w:rFonts w:ascii="Arial" w:cs="Arial" w:eastAsia="Arial" w:hAnsi="Arial"/>
          <w:b/>
          <w:bCs/>
          <w:color w:val="0A1628"/>
          <w:sz w:val="22"/>
          <w:szCs w:val="22"/>
        </w:rPr>
        <w:t xml:space="preserve">Size: </w:t>
      </w:r>
      <w:r>
        <w:rPr>
          <w:rFonts w:ascii="Arial" w:cs="Arial" w:eastAsia="Arial" w:hAnsi="Arial"/>
          <w:color w:val="445566"/>
          <w:sz w:val="22"/>
          <w:szCs w:val="22"/>
        </w:rPr>
        <w:t xml:space="preserve">Do not make the NVIDIA badge larger than the Patriotic Virtual Telehealth logo</w:t>
      </w:r>
    </w:p>
    <w:p>
      <w:pPr>
        <w:spacing w:before="80" w:after="40"/>
        <w:ind w:left="180"/>
      </w:pPr>
      <w:r>
        <w:rPr>
          <w:rFonts w:ascii="Arial" w:cs="Arial" w:eastAsia="Arial" w:hAnsi="Arial"/>
          <w:sz w:val="22"/>
          <w:szCs w:val="22"/>
        </w:rPr>
        <w:t xml:space="preserve">✅  </w:t>
      </w:r>
      <w:r>
        <w:rPr>
          <w:rFonts w:ascii="Arial" w:cs="Arial" w:eastAsia="Arial" w:hAnsi="Arial"/>
          <w:b/>
          <w:bCs/>
          <w:color w:val="0A1628"/>
          <w:sz w:val="22"/>
          <w:szCs w:val="22"/>
        </w:rPr>
        <w:t xml:space="preserve">Clear space: </w:t>
      </w:r>
      <w:r>
        <w:rPr>
          <w:rFonts w:ascii="Arial" w:cs="Arial" w:eastAsia="Arial" w:hAnsi="Arial"/>
          <w:color w:val="445566"/>
          <w:sz w:val="22"/>
          <w:szCs w:val="22"/>
        </w:rPr>
        <w:t xml:space="preserve">Maintain minimum clear space around the badge — do not crowd it</w:t>
      </w:r>
    </w:p>
    <w:p>
      <w:pPr>
        <w:spacing w:before="80" w:after="40"/>
        <w:ind w:left="180"/>
      </w:pPr>
      <w:r>
        <w:rPr>
          <w:rFonts w:ascii="Arial" w:cs="Arial" w:eastAsia="Arial" w:hAnsi="Arial"/>
          <w:sz w:val="22"/>
          <w:szCs w:val="22"/>
        </w:rPr>
        <w:t xml:space="preserve">✅  </w:t>
      </w:r>
      <w:r>
        <w:rPr>
          <w:rFonts w:ascii="Arial" w:cs="Arial" w:eastAsia="Arial" w:hAnsi="Arial"/>
          <w:b/>
          <w:bCs/>
          <w:color w:val="0A1628"/>
          <w:sz w:val="22"/>
          <w:szCs w:val="22"/>
        </w:rPr>
        <w:t xml:space="preserve">Alt text: </w:t>
      </w:r>
      <w:r>
        <w:rPr>
          <w:rFonts w:ascii="Arial" w:cs="Arial" w:eastAsia="Arial" w:hAnsi="Arial"/>
          <w:color w:val="445566"/>
          <w:sz w:val="22"/>
          <w:szCs w:val="22"/>
        </w:rPr>
        <w:t xml:space="preserve">Add alt="NVIDIA Inception Program member badge" for accessibility</w:t>
      </w:r>
    </w:p>
    <w:p>
      <w:pPr>
        <w:spacing w:before="200" w:after="0"/>
      </w:pPr>
      <w:r>
        <w:t xml:space="preserve"/>
      </w:r>
    </w:p>
    <w:p>
      <w:pPr>
        <w:pBdr>
          <w:bottom w:val="single" w:color="0A1628" w:sz="6" w:space="2"/>
        </w:pBdr>
        <w:spacing w:before="300" w:after="100"/>
      </w:pPr>
      <w:r>
        <w:rPr>
          <w:rFonts w:ascii="Arial" w:cs="Arial" w:eastAsia="Arial" w:hAnsi="Arial"/>
          <w:b/>
          <w:bCs/>
          <w:color w:val="0A1628"/>
          <w:sz w:val="28"/>
          <w:szCs w:val="28"/>
        </w:rPr>
        <w:t xml:space="preserve">Section 2: Exact Copy Changes — Priority Order</w:t>
      </w:r>
    </w:p>
    <w:p>
      <w:pPr>
        <w:spacing w:before="60" w:after="60"/>
      </w:pPr>
      <w:r>
        <w:rPr>
          <w:rFonts w:ascii="Arial" w:cs="Arial" w:eastAsia="Arial" w:hAnsi="Arial"/>
          <w:color w:val="445566"/>
          <w:sz w:val="22"/>
          <w:szCs w:val="22"/>
        </w:rPr>
        <w:t xml:space="preserve">Make only the additions listed below. Do not rewrite or remove any existing copy. Each change is listed in priority order.</w:t>
      </w:r>
    </w:p>
    <w:p>
      <w:pPr>
        <w:spacing w:before="120" w:after="0"/>
      </w:pPr>
      <w:r>
        <w:t xml:space="preserve"/>
      </w:r>
    </w:p>
    <w:p>
      <w:pPr>
        <w:spacing w:before="240" w:after="80"/>
      </w:pPr>
      <w:r>
        <w:rPr>
          <w:rFonts w:ascii="Arial" w:cs="Arial" w:eastAsia="Arial" w:hAnsi="Arial"/>
          <w:b/>
          <w:bCs/>
          <w:color w:val="00B4D8"/>
          <w:sz w:val="24"/>
          <w:szCs w:val="24"/>
        </w:rPr>
        <w:t xml:space="preserve">Change 1 (Highest Priority) — Homepage Hero: Under-Headline Addition</w:t>
      </w:r>
    </w:p>
    <w:p>
      <w:pPr>
        <w:spacing w:before="60" w:after="60"/>
      </w:pPr>
      <w:r>
        <w:rPr>
          <w:rFonts w:ascii="Arial" w:cs="Arial" w:eastAsia="Arial" w:hAnsi="Arial"/>
          <w:b/>
          <w:bCs/>
          <w:color w:val="445566"/>
          <w:sz w:val="22"/>
          <w:szCs w:val="22"/>
        </w:rPr>
        <w:t xml:space="preserve">Location: </w:t>
      </w:r>
      <w:r>
        <w:rPr>
          <w:rFonts w:ascii="Arial" w:cs="Arial" w:eastAsia="Arial" w:hAnsi="Arial"/>
          <w:color w:val="445566"/>
          <w:sz w:val="22"/>
          <w:szCs w:val="22"/>
        </w:rPr>
        <w:t xml:space="preserve">Directly below the existing hero headline and subheadline, before the CTA button.</w:t>
      </w:r>
    </w:p>
    <w:p>
      <w:pPr>
        <w:spacing w:before="60" w:after="60"/>
      </w:pPr>
      <w:r>
        <w:rPr>
          <w:rFonts w:ascii="Arial" w:cs="Arial" w:eastAsia="Arial" w:hAnsi="Arial"/>
          <w:b/>
          <w:bCs/>
          <w:color w:val="445566"/>
          <w:sz w:val="22"/>
          <w:szCs w:val="22"/>
        </w:rPr>
        <w:t xml:space="preserve">Action: </w:t>
      </w:r>
      <w:r>
        <w:rPr>
          <w:rFonts w:ascii="Arial" w:cs="Arial" w:eastAsia="Arial" w:hAnsi="Arial"/>
          <w:color w:val="445566"/>
          <w:sz w:val="22"/>
          <w:szCs w:val="22"/>
        </w:rPr>
        <w:t xml:space="preserve">Add 1–2 sentences. Keep font smaller than the main headline. Use neutral styling — no oversized badge treatment here.</w:t>
      </w:r>
    </w:p>
    <w:p>
      <w:pPr>
        <w:spacing w:before="60" w:after="0"/>
      </w:pPr>
      <w:r>
        <w:t xml:space="preserve"/>
      </w:r>
    </w:p>
    <w:p>
      <w:pPr>
        <w:spacing w:before="100" w:after="40"/>
        <w:ind w:left="240"/>
      </w:pPr>
      <w:r>
        <w:rPr>
          <w:rFonts w:ascii="Arial" w:cs="Arial" w:eastAsia="Arial" w:hAnsi="Arial"/>
          <w:b/>
          <w:bCs/>
          <w:color w:val="00B4D8"/>
          <w:sz w:val="20"/>
          <w:szCs w:val="20"/>
        </w:rPr>
        <w:t xml:space="preserve">Add this text beneath the hero copy</w:t>
      </w:r>
    </w:p>
    <w:p>
      <w:pPr>
        <w:pBdr>
          <w:left w:val="single" w:color="00B4D8" w:sz="12" w:space="4"/>
        </w:pBdr>
        <w:shd w:fill="F0F7FB" w:val="clear"/>
        <w:spacing w:before="40" w:after="80"/>
        <w:ind w:left="240" w:right="240"/>
      </w:pPr>
      <w:r>
        <w:rPr>
          <w:rFonts w:ascii="Arial" w:cs="Arial" w:eastAsia="Arial" w:hAnsi="Arial"/>
          <w:i/>
          <w:iCs/>
          <w:color w:val="0A1628"/>
          <w:sz w:val="22"/>
          <w:szCs w:val="22"/>
        </w:rPr>
        <w:t xml:space="preserve">"Powered by RadiantLogiq, an AI-driven clinical platform for decision support and workflow optimization. RadiantLogiq is a member of the NVIDIA Inception program."</w:t>
      </w:r>
    </w:p>
    <w:p>
      <w:pPr>
        <w:pBdr>
          <w:left w:val="single" w:color="F7931E" w:sz="12" w:space="4"/>
        </w:pBdr>
        <w:shd w:fill="FFF8F0" w:val="clear"/>
        <w:spacing w:before="60" w:after="80"/>
        <w:ind w:left="360"/>
      </w:pPr>
      <w:r>
        <w:rPr>
          <w:rFonts w:ascii="Arial" w:cs="Arial" w:eastAsia="Arial" w:hAnsi="Arial"/>
          <w:b/>
          <w:bCs/>
          <w:color w:val="F7931E"/>
          <w:sz w:val="20"/>
          <w:szCs w:val="20"/>
        </w:rPr>
        <w:t xml:space="preserve">Developer note: </w:t>
      </w:r>
      <w:r>
        <w:rPr>
          <w:rFonts w:ascii="Arial" w:cs="Arial" w:eastAsia="Arial" w:hAnsi="Arial"/>
          <w:color w:val="445566"/>
          <w:sz w:val="20"/>
          <w:szCs w:val="20"/>
        </w:rPr>
        <w:t xml:space="preserve">Keep smaller than the main headline. Neutral styling only. Do not use this as a primary hero statement.</w:t>
      </w:r>
    </w:p>
    <w:p>
      <w:pPr>
        <w:spacing w:before="120" w:after="0"/>
      </w:pPr>
      <w:r>
        <w:t xml:space="preserve"/>
      </w:r>
    </w:p>
    <w:p>
      <w:pPr>
        <w:spacing w:before="240" w:after="80"/>
      </w:pPr>
      <w:r>
        <w:rPr>
          <w:rFonts w:ascii="Arial" w:cs="Arial" w:eastAsia="Arial" w:hAnsi="Arial"/>
          <w:b/>
          <w:bCs/>
          <w:color w:val="00B4D8"/>
          <w:sz w:val="24"/>
          <w:szCs w:val="24"/>
        </w:rPr>
        <w:t xml:space="preserve">Change 2 (High Priority) — Homepage Trust / Platform Line</w:t>
      </w:r>
    </w:p>
    <w:p>
      <w:pPr>
        <w:spacing w:before="60" w:after="60"/>
      </w:pPr>
      <w:r>
        <w:rPr>
          <w:rFonts w:ascii="Arial" w:cs="Arial" w:eastAsia="Arial" w:hAnsi="Arial"/>
          <w:b/>
          <w:bCs/>
          <w:color w:val="445566"/>
          <w:sz w:val="22"/>
          <w:szCs w:val="22"/>
        </w:rPr>
        <w:t xml:space="preserve">Location: </w:t>
      </w:r>
      <w:r>
        <w:rPr>
          <w:rFonts w:ascii="Arial" w:cs="Arial" w:eastAsia="Arial" w:hAnsi="Arial"/>
          <w:color w:val="445566"/>
          <w:sz w:val="22"/>
          <w:szCs w:val="22"/>
        </w:rPr>
        <w:t xml:space="preserve">Near the CTA or just below key intro copy — reads as a trust/support line, not a medical claim.</w:t>
      </w:r>
    </w:p>
    <w:p>
      <w:pPr>
        <w:spacing w:before="100" w:after="40"/>
        <w:ind w:left="240"/>
      </w:pPr>
      <w:r>
        <w:rPr>
          <w:rFonts w:ascii="Arial" w:cs="Arial" w:eastAsia="Arial" w:hAnsi="Arial"/>
          <w:b/>
          <w:bCs/>
          <w:color w:val="00B4D8"/>
          <w:sz w:val="20"/>
          <w:szCs w:val="20"/>
        </w:rPr>
        <w:t xml:space="preserve">Add this short sentence</w:t>
      </w:r>
    </w:p>
    <w:p>
      <w:pPr>
        <w:pBdr>
          <w:left w:val="single" w:color="00B4D8" w:sz="12" w:space="4"/>
        </w:pBdr>
        <w:shd w:fill="F0F7FB" w:val="clear"/>
        <w:spacing w:before="40" w:after="80"/>
        <w:ind w:left="240" w:right="240"/>
      </w:pPr>
      <w:r>
        <w:rPr>
          <w:rFonts w:ascii="Arial" w:cs="Arial" w:eastAsia="Arial" w:hAnsi="Arial"/>
          <w:i/>
          <w:iCs/>
          <w:color w:val="0A1628"/>
          <w:sz w:val="22"/>
          <w:szCs w:val="22"/>
        </w:rPr>
        <w:t xml:space="preserve">"Our platform integrates advanced clinical software and AI to support efficient, high-quality care delivery."</w:t>
      </w:r>
    </w:p>
    <w:p>
      <w:pPr>
        <w:pBdr>
          <w:left w:val="single" w:color="F7931E" w:sz="12" w:space="4"/>
        </w:pBdr>
        <w:shd w:fill="FFF8F0" w:val="clear"/>
        <w:spacing w:before="60" w:after="80"/>
        <w:ind w:left="360"/>
      </w:pPr>
      <w:r>
        <w:rPr>
          <w:rFonts w:ascii="Arial" w:cs="Arial" w:eastAsia="Arial" w:hAnsi="Arial"/>
          <w:b/>
          <w:bCs/>
          <w:color w:val="F7931E"/>
          <w:sz w:val="20"/>
          <w:szCs w:val="20"/>
        </w:rPr>
        <w:t xml:space="preserve">Developer note: </w:t>
      </w:r>
      <w:r>
        <w:rPr>
          <w:rFonts w:ascii="Arial" w:cs="Arial" w:eastAsia="Arial" w:hAnsi="Arial"/>
          <w:color w:val="445566"/>
          <w:sz w:val="20"/>
          <w:szCs w:val="20"/>
        </w:rPr>
        <w:t xml:space="preserve">This should read like a trust/support line. Do not frame it as a medical claim or diagnostic promise.</w:t>
      </w:r>
    </w:p>
    <w:p>
      <w:pPr>
        <w:spacing w:before="120" w:after="0"/>
      </w:pPr>
      <w:r>
        <w:t xml:space="preserve"/>
      </w:r>
    </w:p>
    <w:p>
      <w:pPr>
        <w:spacing w:before="240" w:after="80"/>
      </w:pPr>
      <w:r>
        <w:rPr>
          <w:rFonts w:ascii="Arial" w:cs="Arial" w:eastAsia="Arial" w:hAnsi="Arial"/>
          <w:b/>
          <w:bCs/>
          <w:color w:val="00B4D8"/>
          <w:sz w:val="24"/>
          <w:szCs w:val="24"/>
        </w:rPr>
        <w:t xml:space="preserve">Change 3 (High Priority) — Technology &amp; Platform Section</w:t>
      </w:r>
    </w:p>
    <w:p>
      <w:pPr>
        <w:spacing w:before="60" w:after="60"/>
      </w:pPr>
      <w:r>
        <w:rPr>
          <w:rFonts w:ascii="Arial" w:cs="Arial" w:eastAsia="Arial" w:hAnsi="Arial"/>
          <w:b/>
          <w:bCs/>
          <w:color w:val="445566"/>
          <w:sz w:val="22"/>
          <w:szCs w:val="22"/>
        </w:rPr>
        <w:t xml:space="preserve">Location: </w:t>
      </w:r>
      <w:r>
        <w:rPr>
          <w:rFonts w:ascii="Arial" w:cs="Arial" w:eastAsia="Arial" w:hAnsi="Arial"/>
          <w:color w:val="445566"/>
          <w:sz w:val="22"/>
          <w:szCs w:val="22"/>
        </w:rPr>
        <w:t xml:space="preserve">Add as a new short section mid-page or near existing explanatory content. Match the visual style of existing section modules.</w:t>
      </w:r>
    </w:p>
    <w:p>
      <w:pPr>
        <w:spacing w:before="60" w:after="60"/>
      </w:pPr>
      <w:r>
        <w:rPr>
          <w:rFonts w:ascii="Arial" w:cs="Arial" w:eastAsia="Arial" w:hAnsi="Arial"/>
          <w:b/>
          <w:bCs/>
          <w:color w:val="445566"/>
          <w:sz w:val="22"/>
          <w:szCs w:val="22"/>
        </w:rPr>
        <w:t xml:space="preserve">Section title: </w:t>
      </w:r>
      <w:r>
        <w:rPr>
          <w:rFonts w:ascii="Arial" w:cs="Arial" w:eastAsia="Arial" w:hAnsi="Arial"/>
          <w:color w:val="445566"/>
          <w:sz w:val="22"/>
          <w:szCs w:val="22"/>
        </w:rPr>
        <w:t xml:space="preserve">"Technology &amp; Platform"</w:t>
      </w:r>
    </w:p>
    <w:p>
      <w:pPr>
        <w:spacing w:before="60" w:after="0"/>
      </w:pPr>
      <w:r>
        <w:t xml:space="preserve"/>
      </w:r>
    </w:p>
    <w:p>
      <w:pPr>
        <w:spacing w:before="100" w:after="40"/>
        <w:ind w:left="240"/>
      </w:pPr>
      <w:r>
        <w:rPr>
          <w:rFonts w:ascii="Arial" w:cs="Arial" w:eastAsia="Arial" w:hAnsi="Arial"/>
          <w:b/>
          <w:bCs/>
          <w:color w:val="00B4D8"/>
          <w:sz w:val="20"/>
          <w:szCs w:val="20"/>
        </w:rPr>
        <w:t xml:space="preserve">Body copy for this section</w:t>
      </w:r>
    </w:p>
    <w:p>
      <w:pPr>
        <w:pBdr>
          <w:left w:val="single" w:color="00B4D8" w:sz="12" w:space="4"/>
        </w:pBdr>
        <w:shd w:fill="F0F7FB" w:val="clear"/>
        <w:spacing w:before="40" w:after="80"/>
        <w:ind w:left="240" w:right="240"/>
      </w:pPr>
      <w:r>
        <w:rPr>
          <w:rFonts w:ascii="Arial" w:cs="Arial" w:eastAsia="Arial" w:hAnsi="Arial"/>
          <w:i/>
          <w:iCs/>
          <w:color w:val="0A1628"/>
          <w:sz w:val="22"/>
          <w:szCs w:val="22"/>
        </w:rPr>
        <w:t xml:space="preserve">"Patriotic Virtual Telehealth is powered by RadiantLogiq, a physician-founded clinical platform designed to enhance care delivery through workflow optimization and intelligent data processing.
RadiantLogiq supports scalable telehealth operations today, with ongoing development of advanced clinical decision support tools for healthcare providers."</w:t>
      </w:r>
    </w:p>
    <w:p>
      <w:pPr>
        <w:pBdr>
          <w:left w:val="single" w:color="F7931E" w:sz="12" w:space="4"/>
        </w:pBdr>
        <w:shd w:fill="FFF8F0" w:val="clear"/>
        <w:spacing w:before="60" w:after="80"/>
        <w:ind w:left="360"/>
      </w:pPr>
      <w:r>
        <w:rPr>
          <w:rFonts w:ascii="Arial" w:cs="Arial" w:eastAsia="Arial" w:hAnsi="Arial"/>
          <w:b/>
          <w:bCs/>
          <w:color w:val="F7931E"/>
          <w:sz w:val="20"/>
          <w:szCs w:val="20"/>
        </w:rPr>
        <w:t xml:space="preserve">Developer note: </w:t>
      </w:r>
      <w:r>
        <w:rPr>
          <w:rFonts w:ascii="Arial" w:cs="Arial" w:eastAsia="Arial" w:hAnsi="Arial"/>
          <w:color w:val="445566"/>
          <w:sz w:val="20"/>
          <w:szCs w:val="20"/>
        </w:rPr>
        <w:t xml:space="preserve">Keep visual style consistent with existing section modules. This introduces RadiantLogiq without disrupting patient-facing copy.</w:t>
      </w:r>
    </w:p>
    <w:p>
      <w:pPr>
        <w:spacing w:before="120" w:after="0"/>
      </w:pPr>
      <w:r>
        <w:t xml:space="preserve"/>
      </w:r>
    </w:p>
    <w:p>
      <w:pPr>
        <w:spacing w:before="240" w:after="80"/>
      </w:pPr>
      <w:r>
        <w:rPr>
          <w:rFonts w:ascii="Arial" w:cs="Arial" w:eastAsia="Arial" w:hAnsi="Arial"/>
          <w:b/>
          <w:bCs/>
          <w:color w:val="00B4D8"/>
          <w:sz w:val="24"/>
          <w:szCs w:val="24"/>
        </w:rPr>
        <w:t xml:space="preserve">Change 4 (High Priority) — DoseSpot Trust Line</w:t>
      </w:r>
    </w:p>
    <w:p>
      <w:pPr>
        <w:spacing w:before="60" w:after="60"/>
      </w:pPr>
      <w:r>
        <w:rPr>
          <w:rFonts w:ascii="Arial" w:cs="Arial" w:eastAsia="Arial" w:hAnsi="Arial"/>
          <w:b/>
          <w:bCs/>
          <w:color w:val="445566"/>
          <w:sz w:val="22"/>
          <w:szCs w:val="22"/>
        </w:rPr>
        <w:t xml:space="preserve">Location (choose one): </w:t>
      </w:r>
      <w:r>
        <w:rPr>
          <w:rFonts w:ascii="Arial" w:cs="Arial" w:eastAsia="Arial" w:hAnsi="Arial"/>
          <w:color w:val="445566"/>
          <w:sz w:val="22"/>
          <w:szCs w:val="22"/>
        </w:rPr>
        <w:t xml:space="preserve">How It Works section   OR   Technology &amp; Platform section   OR   Why Choose Us / trust section. Mention DoseSpot only once across the entire page.</w:t>
      </w:r>
    </w:p>
    <w:p>
      <w:pPr>
        <w:spacing w:before="100" w:after="40"/>
        <w:ind w:left="240"/>
      </w:pPr>
      <w:r>
        <w:rPr>
          <w:rFonts w:ascii="Arial" w:cs="Arial" w:eastAsia="Arial" w:hAnsi="Arial"/>
          <w:b/>
          <w:bCs/>
          <w:color w:val="00B4D8"/>
          <w:sz w:val="20"/>
          <w:szCs w:val="20"/>
        </w:rPr>
        <w:t xml:space="preserve">Add this sentence once</w:t>
      </w:r>
    </w:p>
    <w:p>
      <w:pPr>
        <w:pBdr>
          <w:left w:val="single" w:color="00B4D8" w:sz="12" w:space="4"/>
        </w:pBdr>
        <w:shd w:fill="F0F7FB" w:val="clear"/>
        <w:spacing w:before="40" w:after="80"/>
        <w:ind w:left="240" w:right="240"/>
      </w:pPr>
      <w:r>
        <w:rPr>
          <w:rFonts w:ascii="Arial" w:cs="Arial" w:eastAsia="Arial" w:hAnsi="Arial"/>
          <w:i/>
          <w:iCs/>
          <w:color w:val="0A1628"/>
          <w:sz w:val="22"/>
          <w:szCs w:val="22"/>
        </w:rPr>
        <w:t xml:space="preserve">"We utilize a secure, integrated e-prescribing platform (DoseSpot) to support safe, compliant, and efficient medication management."</w:t>
      </w:r>
    </w:p>
    <w:p>
      <w:pPr>
        <w:pBdr>
          <w:left w:val="single" w:color="F7931E" w:sz="12" w:space="4"/>
        </w:pBdr>
        <w:shd w:fill="FFF8F0" w:val="clear"/>
        <w:spacing w:before="60" w:after="80"/>
        <w:ind w:left="360"/>
      </w:pPr>
      <w:r>
        <w:rPr>
          <w:rFonts w:ascii="Arial" w:cs="Arial" w:eastAsia="Arial" w:hAnsi="Arial"/>
          <w:b/>
          <w:bCs/>
          <w:color w:val="F7931E"/>
          <w:sz w:val="20"/>
          <w:szCs w:val="20"/>
        </w:rPr>
        <w:t xml:space="preserve">Developer note: </w:t>
      </w:r>
      <w:r>
        <w:rPr>
          <w:rFonts w:ascii="Arial" w:cs="Arial" w:eastAsia="Arial" w:hAnsi="Arial"/>
          <w:color w:val="445566"/>
          <w:sz w:val="20"/>
          <w:szCs w:val="20"/>
        </w:rPr>
        <w:t xml:space="preserve">Mention DoseSpot only once on the page. Do not use it in the hero or any area that could be read as a medical claim.</w:t>
      </w:r>
    </w:p>
    <w:p>
      <w:pPr>
        <w:spacing w:before="120" w:after="0"/>
      </w:pPr>
      <w:r>
        <w:t xml:space="preserve"/>
      </w:r>
    </w:p>
    <w:p>
      <w:pPr>
        <w:spacing w:before="240" w:after="80"/>
      </w:pPr>
      <w:r>
        <w:rPr>
          <w:rFonts w:ascii="Arial" w:cs="Arial" w:eastAsia="Arial" w:hAnsi="Arial"/>
          <w:b/>
          <w:bCs/>
          <w:color w:val="00B4D8"/>
          <w:sz w:val="24"/>
          <w:szCs w:val="24"/>
        </w:rPr>
        <w:t xml:space="preserve">Change 5 (Medium Priority) — Footer / Lower-Page Credibility Strip</w:t>
      </w:r>
    </w:p>
    <w:p>
      <w:pPr>
        <w:spacing w:before="60" w:after="60"/>
      </w:pPr>
      <w:r>
        <w:rPr>
          <w:rFonts w:ascii="Arial" w:cs="Arial" w:eastAsia="Arial" w:hAnsi="Arial"/>
          <w:b/>
          <w:bCs/>
          <w:color w:val="445566"/>
          <w:sz w:val="22"/>
          <w:szCs w:val="22"/>
        </w:rPr>
        <w:t xml:space="preserve">Location: </w:t>
      </w:r>
      <w:r>
        <w:rPr>
          <w:rFonts w:ascii="Arial" w:cs="Arial" w:eastAsia="Arial" w:hAnsi="Arial"/>
          <w:color w:val="445566"/>
          <w:sz w:val="22"/>
          <w:szCs w:val="22"/>
        </w:rPr>
        <w:t xml:space="preserve">Footer or lower-page credibility/trust strip.</w:t>
      </w:r>
    </w:p>
    <w:p>
      <w:pPr>
        <w:spacing w:before="100" w:after="40"/>
        <w:ind w:left="240"/>
      </w:pPr>
      <w:r>
        <w:rPr>
          <w:rFonts w:ascii="Arial" w:cs="Arial" w:eastAsia="Arial" w:hAnsi="Arial"/>
          <w:b/>
          <w:bCs/>
          <w:color w:val="00B4D8"/>
          <w:sz w:val="20"/>
          <w:szCs w:val="20"/>
        </w:rPr>
        <w:t xml:space="preserve">Add these two lines (small, clean text)</w:t>
      </w:r>
    </w:p>
    <w:p>
      <w:pPr>
        <w:pBdr>
          <w:left w:val="single" w:color="00B4D8" w:sz="12" w:space="4"/>
        </w:pBdr>
        <w:shd w:fill="F0F7FB" w:val="clear"/>
        <w:spacing w:before="40" w:after="80"/>
        <w:ind w:left="240" w:right="240"/>
      </w:pPr>
      <w:r>
        <w:rPr>
          <w:rFonts w:ascii="Arial" w:cs="Arial" w:eastAsia="Arial" w:hAnsi="Arial"/>
          <w:i/>
          <w:iCs/>
          <w:color w:val="0A1628"/>
          <w:sz w:val="22"/>
          <w:szCs w:val="22"/>
        </w:rPr>
        <w:t xml:space="preserve">"Powered by RadiantLogiq
Member, NVIDIA Inception Program"</w:t>
      </w:r>
    </w:p>
    <w:p>
      <w:pPr>
        <w:spacing w:before="60" w:after="60"/>
      </w:pPr>
      <w:r>
        <w:rPr>
          <w:rFonts w:ascii="Arial" w:cs="Arial" w:eastAsia="Arial" w:hAnsi="Arial"/>
          <w:color w:val="445566"/>
          <w:sz w:val="22"/>
          <w:szCs w:val="22"/>
        </w:rPr>
        <w:t xml:space="preserve">Also display the official NVIDIA Inception Program badge here (download from brand.nvidia.com), followed by the required NVIDIA trademark attribution line:</w:t>
      </w:r>
    </w:p>
    <w:p>
      <w:pPr>
        <w:spacing w:before="100" w:after="40"/>
        <w:ind w:left="240"/>
      </w:pPr>
      <w:r>
        <w:rPr>
          <w:rFonts w:ascii="Arial" w:cs="Arial" w:eastAsia="Arial" w:hAnsi="Arial"/>
          <w:b/>
          <w:bCs/>
          <w:color w:val="00B4D8"/>
          <w:sz w:val="20"/>
          <w:szCs w:val="20"/>
        </w:rPr>
        <w:t xml:space="preserve">Required NVIDIA trademark line (display immediately below or near the badge)</w:t>
      </w:r>
    </w:p>
    <w:p>
      <w:pPr>
        <w:pBdr>
          <w:left w:val="single" w:color="00B4D8" w:sz="12" w:space="4"/>
        </w:pBdr>
        <w:shd w:fill="F0F7FB" w:val="clear"/>
        <w:spacing w:before="40" w:after="80"/>
        <w:ind w:left="240" w:right="240"/>
      </w:pPr>
      <w:r>
        <w:rPr>
          <w:rFonts w:ascii="Arial" w:cs="Arial" w:eastAsia="Arial" w:hAnsi="Arial"/>
          <w:i/>
          <w:iCs/>
          <w:color w:val="0A1628"/>
          <w:sz w:val="22"/>
          <w:szCs w:val="22"/>
        </w:rPr>
        <w:t xml:space="preserve">"© 2025 NVIDIA, the NVIDIA logo, and NVIDIA Inception Program are trademarks and/or registered trademarks of NVIDIA Corporation in the U.S. and other countries."</w:t>
      </w:r>
    </w:p>
    <w:p>
      <w:pPr>
        <w:pBdr>
          <w:left w:val="single" w:color="F7931E" w:sz="12" w:space="4"/>
        </w:pBdr>
        <w:shd w:fill="FFF8F0" w:val="clear"/>
        <w:spacing w:before="60" w:after="80"/>
        <w:ind w:left="360"/>
      </w:pPr>
      <w:r>
        <w:rPr>
          <w:rFonts w:ascii="Arial" w:cs="Arial" w:eastAsia="Arial" w:hAnsi="Arial"/>
          <w:b/>
          <w:bCs/>
          <w:color w:val="F7931E"/>
          <w:sz w:val="20"/>
          <w:szCs w:val="20"/>
        </w:rPr>
        <w:t xml:space="preserve">Developer note: </w:t>
      </w:r>
      <w:r>
        <w:rPr>
          <w:rFonts w:ascii="Arial" w:cs="Arial" w:eastAsia="Arial" w:hAnsi="Arial"/>
          <w:color w:val="445566"/>
          <w:sz w:val="20"/>
          <w:szCs w:val="20"/>
        </w:rPr>
        <w:t xml:space="preserve">Very small, clean text for the footer lines. Do not imply NVIDIA endorsement, approval, or partnership beyond program membership. Use Member, NVIDIA Inception Program — not Partner or Powered by NVIDIA.</w:t>
      </w:r>
    </w:p>
    <w:p>
      <w:pPr>
        <w:spacing w:before="120" w:after="0"/>
      </w:pPr>
      <w:r>
        <w:t xml:space="preserve"/>
      </w:r>
    </w:p>
    <w:p>
      <w:pPr>
        <w:spacing w:before="240" w:after="80"/>
      </w:pPr>
      <w:r>
        <w:rPr>
          <w:rFonts w:ascii="Arial" w:cs="Arial" w:eastAsia="Arial" w:hAnsi="Arial"/>
          <w:b/>
          <w:bCs/>
          <w:color w:val="00B4D8"/>
          <w:sz w:val="24"/>
          <w:szCs w:val="24"/>
        </w:rPr>
        <w:t xml:space="preserve">Change 6 (High Priority) — About / Physician-Founded Trust Language</w:t>
      </w:r>
    </w:p>
    <w:p>
      <w:pPr>
        <w:spacing w:before="60" w:after="60"/>
      </w:pPr>
      <w:r>
        <w:rPr>
          <w:rFonts w:ascii="Arial" w:cs="Arial" w:eastAsia="Arial" w:hAnsi="Arial"/>
          <w:b/>
          <w:bCs/>
          <w:color w:val="445566"/>
          <w:sz w:val="22"/>
          <w:szCs w:val="22"/>
        </w:rPr>
        <w:t xml:space="preserve">Location: </w:t>
      </w:r>
      <w:r>
        <w:rPr>
          <w:rFonts w:ascii="Arial" w:cs="Arial" w:eastAsia="Arial" w:hAnsi="Arial"/>
          <w:color w:val="445566"/>
          <w:sz w:val="22"/>
          <w:szCs w:val="22"/>
        </w:rPr>
        <w:t xml:space="preserve">About, trust, or platform section — not as the main hero headline.</w:t>
      </w:r>
    </w:p>
    <w:p>
      <w:pPr>
        <w:spacing w:before="100" w:after="40"/>
        <w:ind w:left="240"/>
      </w:pPr>
      <w:r>
        <w:rPr>
          <w:rFonts w:ascii="Arial" w:cs="Arial" w:eastAsia="Arial" w:hAnsi="Arial"/>
          <w:b/>
          <w:bCs/>
          <w:color w:val="00B4D8"/>
          <w:sz w:val="20"/>
          <w:szCs w:val="20"/>
        </w:rPr>
        <w:t xml:space="preserve">Add this sentence where appropriate</w:t>
      </w:r>
    </w:p>
    <w:p>
      <w:pPr>
        <w:pBdr>
          <w:left w:val="single" w:color="00B4D8" w:sz="12" w:space="4"/>
        </w:pBdr>
        <w:shd w:fill="F0F7FB" w:val="clear"/>
        <w:spacing w:before="40" w:after="80"/>
        <w:ind w:left="240" w:right="240"/>
      </w:pPr>
      <w:r>
        <w:rPr>
          <w:rFonts w:ascii="Arial" w:cs="Arial" w:eastAsia="Arial" w:hAnsi="Arial"/>
          <w:i/>
          <w:iCs/>
          <w:color w:val="0A1628"/>
          <w:sz w:val="22"/>
          <w:szCs w:val="22"/>
        </w:rPr>
        <w:t xml:space="preserve">"Built by a physician-led team, RadiantLogiq is designed to improve efficiency and scalability in modern healthcare delivery."</w:t>
      </w:r>
    </w:p>
    <w:p>
      <w:pPr>
        <w:pBdr>
          <w:left w:val="single" w:color="F7931E" w:sz="12" w:space="4"/>
        </w:pBdr>
        <w:shd w:fill="FFF8F0" w:val="clear"/>
        <w:spacing w:before="60" w:after="80"/>
        <w:ind w:left="360"/>
      </w:pPr>
      <w:r>
        <w:rPr>
          <w:rFonts w:ascii="Arial" w:cs="Arial" w:eastAsia="Arial" w:hAnsi="Arial"/>
          <w:b/>
          <w:bCs/>
          <w:color w:val="F7931E"/>
          <w:sz w:val="20"/>
          <w:szCs w:val="20"/>
        </w:rPr>
        <w:t xml:space="preserve">Developer note: </w:t>
      </w:r>
      <w:r>
        <w:rPr>
          <w:rFonts w:ascii="Arial" w:cs="Arial" w:eastAsia="Arial" w:hAnsi="Arial"/>
          <w:color w:val="445566"/>
          <w:sz w:val="20"/>
          <w:szCs w:val="20"/>
        </w:rPr>
        <w:t xml:space="preserve">Use in About, trust, or platform section only — not as a primary hero statement.</w:t>
      </w:r>
    </w:p>
    <w:p>
      <w:pPr>
        <w:spacing w:before="120" w:after="0"/>
      </w:pPr>
      <w:r>
        <w:t xml:space="preserve"/>
      </w:r>
    </w:p>
    <w:p>
      <w:pPr>
        <w:spacing w:before="240" w:after="80"/>
      </w:pPr>
      <w:r>
        <w:rPr>
          <w:rFonts w:ascii="Arial" w:cs="Arial" w:eastAsia="Arial" w:hAnsi="Arial"/>
          <w:b/>
          <w:bCs/>
          <w:color w:val="00B4D8"/>
          <w:sz w:val="24"/>
          <w:szCs w:val="24"/>
        </w:rPr>
        <w:t xml:space="preserve">Change 7 (Optional) — Provider-Facing Micro-Copy</w:t>
      </w:r>
    </w:p>
    <w:p>
      <w:pPr>
        <w:spacing w:before="60" w:after="60"/>
      </w:pPr>
      <w:r>
        <w:rPr>
          <w:rFonts w:ascii="Arial" w:cs="Arial" w:eastAsia="Arial" w:hAnsi="Arial"/>
          <w:b/>
          <w:bCs/>
          <w:color w:val="445566"/>
          <w:sz w:val="22"/>
          <w:szCs w:val="22"/>
        </w:rPr>
        <w:t xml:space="preserve">Location: </w:t>
      </w:r>
      <w:r>
        <w:rPr>
          <w:rFonts w:ascii="Arial" w:cs="Arial" w:eastAsia="Arial" w:hAnsi="Arial"/>
          <w:color w:val="445566"/>
          <w:sz w:val="22"/>
          <w:szCs w:val="22"/>
        </w:rPr>
        <w:t xml:space="preserve">Secondary placement only. The page must still read primarily as a patient-facing telehealth site.</w:t>
      </w:r>
    </w:p>
    <w:p>
      <w:pPr>
        <w:spacing w:before="100" w:after="40"/>
        <w:ind w:left="240"/>
      </w:pPr>
      <w:r>
        <w:rPr>
          <w:rFonts w:ascii="Arial" w:cs="Arial" w:eastAsia="Arial" w:hAnsi="Arial"/>
          <w:b/>
          <w:bCs/>
          <w:color w:val="00B4D8"/>
          <w:sz w:val="20"/>
          <w:szCs w:val="20"/>
        </w:rPr>
        <w:t xml:space="preserve">Optional — add one brief line if space allows</w:t>
      </w:r>
    </w:p>
    <w:p>
      <w:pPr>
        <w:pBdr>
          <w:left w:val="single" w:color="00B4D8" w:sz="12" w:space="4"/>
        </w:pBdr>
        <w:shd w:fill="F0F7FB" w:val="clear"/>
        <w:spacing w:before="40" w:after="80"/>
        <w:ind w:left="240" w:right="240"/>
      </w:pPr>
      <w:r>
        <w:rPr>
          <w:rFonts w:ascii="Arial" w:cs="Arial" w:eastAsia="Arial" w:hAnsi="Arial"/>
          <w:i/>
          <w:iCs/>
          <w:color w:val="0A1628"/>
          <w:sz w:val="22"/>
          <w:szCs w:val="22"/>
        </w:rPr>
        <w:t xml:space="preserve">"For providers and health systems, RadiantLogiq is being developed to support workflow optimization and clinical decision support."</w:t>
      </w:r>
    </w:p>
    <w:p>
      <w:pPr>
        <w:pBdr>
          <w:left w:val="single" w:color="F7931E" w:sz="12" w:space="4"/>
        </w:pBdr>
        <w:shd w:fill="FFF8F0" w:val="clear"/>
        <w:spacing w:before="60" w:after="80"/>
        <w:ind w:left="360"/>
      </w:pPr>
      <w:r>
        <w:rPr>
          <w:rFonts w:ascii="Arial" w:cs="Arial" w:eastAsia="Arial" w:hAnsi="Arial"/>
          <w:b/>
          <w:bCs/>
          <w:color w:val="F7931E"/>
          <w:sz w:val="20"/>
          <w:szCs w:val="20"/>
        </w:rPr>
        <w:t xml:space="preserve">Developer note: </w:t>
      </w:r>
      <w:r>
        <w:rPr>
          <w:rFonts w:ascii="Arial" w:cs="Arial" w:eastAsia="Arial" w:hAnsi="Arial"/>
          <w:color w:val="445566"/>
          <w:sz w:val="20"/>
          <w:szCs w:val="20"/>
        </w:rPr>
        <w:t xml:space="preserve">Keep this secondary. Do not feature it prominently alongside patient-facing copy.</w:t>
      </w:r>
    </w:p>
    <w:p>
      <w:pPr>
        <w:spacing w:before="200" w:after="0"/>
      </w:pPr>
      <w:r>
        <w:t xml:space="preserve"/>
      </w:r>
    </w:p>
    <w:p>
      <w:pPr>
        <w:pBdr>
          <w:bottom w:val="single" w:color="0A1628" w:sz="6" w:space="2"/>
        </w:pBdr>
        <w:spacing w:before="300" w:after="100"/>
      </w:pPr>
      <w:r>
        <w:rPr>
          <w:rFonts w:ascii="Arial" w:cs="Arial" w:eastAsia="Arial" w:hAnsi="Arial"/>
          <w:b/>
          <w:bCs/>
          <w:color w:val="0A1628"/>
          <w:sz w:val="28"/>
          <w:szCs w:val="28"/>
        </w:rPr>
        <w:t xml:space="preserve">Section 3: Suggested Placement Order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4200"/>
        <w:gridCol w:w="3460"/>
      </w:tblGrid>
      <w:tr>
        <w:trPr>
          <w:tblHeader/>
        </w:trPr>
        <w:tc>
          <w:tcPr>
            <w:tcW w:type="dxa" w:w="6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1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2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346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Why First</w:t>
            </w:r>
          </w:p>
        </w:tc>
      </w:tr>
      <w:tr>
        <w:tc>
          <w:tcPr>
            <w:tcW w:type="dxa" w:w="600"/>
            <w:tcBorders>
              <w:top w:val="single" w:color="D0DCE8" w:sz="4"/>
              <w:left w:val="single" w:color="D0DCE8" w:sz="4"/>
              <w:bottom w:val="single" w:color="D0DCE8" w:sz="4"/>
              <w:right w:val="single" w:color="D0DCE8" w:sz="4"/>
            </w:tcBorders>
            <w:shd w:fill="FFFFFF" w:val="clear"/>
            <w:tcMar>
              <w:top w:type="dxa" w:w="60"/>
              <w:left w:type="dxa" w:w="120"/>
              <w:bottom w:type="dxa" w:w="60"/>
              <w:right w:type="dxa" w:w="120"/>
            </w:tcMar>
          </w:tcPr>
          <w:p>
            <w:r>
              <w:rPr>
                <w:rFonts w:ascii="Arial" w:cs="Arial" w:eastAsia="Arial" w:hAnsi="Arial"/>
                <w:b w:val="false"/>
                <w:bCs w:val="false"/>
                <w:color w:val="445566"/>
                <w:sz w:val="20"/>
                <w:szCs w:val="20"/>
              </w:rPr>
              <w:t xml:space="preserve">1</w:t>
            </w:r>
          </w:p>
        </w:tc>
        <w:tc>
          <w:tcPr>
            <w:tcW w:type="dxa" w:w="1100"/>
            <w:tcBorders>
              <w:top w:val="single" w:color="D0DCE8" w:sz="4"/>
              <w:left w:val="single" w:color="D0DCE8" w:sz="4"/>
              <w:bottom w:val="single" w:color="D0DCE8" w:sz="4"/>
              <w:right w:val="single" w:color="D0DCE8" w:sz="4"/>
            </w:tcBorders>
            <w:shd w:fill="FFFFFF" w:val="clear"/>
            <w:tcMar>
              <w:top w:type="dxa" w:w="60"/>
              <w:left w:type="dxa" w:w="120"/>
              <w:bottom w:type="dxa" w:w="60"/>
              <w:right w:type="dxa" w:w="120"/>
            </w:tcMar>
          </w:tcPr>
          <w:p>
            <w:r>
              <w:rPr>
                <w:rFonts w:ascii="Arial" w:cs="Arial" w:eastAsia="Arial" w:hAnsi="Arial"/>
                <w:b/>
                <w:bCs/>
                <w:color w:val="76B900"/>
                <w:sz w:val="20"/>
                <w:szCs w:val="20"/>
              </w:rPr>
              <w:t xml:space="preserve">Highest</w:t>
            </w:r>
          </w:p>
        </w:tc>
        <w:tc>
          <w:tcPr>
            <w:tcW w:type="dxa" w:w="4200"/>
            <w:tcBorders>
              <w:top w:val="single" w:color="D0DCE8" w:sz="4"/>
              <w:left w:val="single" w:color="D0DCE8" w:sz="4"/>
              <w:bottom w:val="single" w:color="D0DCE8" w:sz="4"/>
              <w:right w:val="single" w:color="D0DCE8" w:sz="4"/>
            </w:tcBorders>
            <w:shd w:fill="FFFFFF" w:val="clear"/>
            <w:tcMar>
              <w:top w:type="dxa" w:w="60"/>
              <w:left w:type="dxa" w:w="120"/>
              <w:bottom w:type="dxa" w:w="60"/>
              <w:right w:type="dxa" w:w="120"/>
            </w:tcMar>
          </w:tcPr>
          <w:p>
            <w:r>
              <w:rPr>
                <w:rFonts w:ascii="Arial" w:cs="Arial" w:eastAsia="Arial" w:hAnsi="Arial"/>
                <w:b w:val="false"/>
                <w:bCs w:val="false"/>
                <w:color w:val="445566"/>
                <w:sz w:val="20"/>
                <w:szCs w:val="20"/>
              </w:rPr>
              <w:t xml:space="preserve">Hero under-text (RadiantLogiq + NVIDIA mention)</w:t>
            </w:r>
          </w:p>
        </w:tc>
        <w:tc>
          <w:tcPr>
            <w:tcW w:type="dxa" w:w="3460"/>
            <w:tcBorders>
              <w:top w:val="single" w:color="D0DCE8" w:sz="4"/>
              <w:left w:val="single" w:color="D0DCE8" w:sz="4"/>
              <w:bottom w:val="single" w:color="D0DCE8" w:sz="4"/>
              <w:right w:val="single" w:color="D0DCE8" w:sz="4"/>
            </w:tcBorders>
            <w:shd w:fill="FFFFFF" w:val="clear"/>
            <w:tcMar>
              <w:top w:type="dxa" w:w="60"/>
              <w:left w:type="dxa" w:w="120"/>
              <w:bottom w:type="dxa" w:w="60"/>
              <w:right w:type="dxa" w:w="120"/>
            </w:tcMar>
          </w:tcPr>
          <w:p>
            <w:r>
              <w:rPr>
                <w:rFonts w:ascii="Arial" w:cs="Arial" w:eastAsia="Arial" w:hAnsi="Arial"/>
                <w:b w:val="false"/>
                <w:bCs w:val="false"/>
                <w:color w:val="445566"/>
                <w:sz w:val="20"/>
                <w:szCs w:val="20"/>
              </w:rPr>
              <w:t xml:space="preserve">Fastest credibility lift; preserves existing layout</w:t>
            </w:r>
          </w:p>
        </w:tc>
      </w:tr>
      <w:tr>
        <w:tc>
          <w:tcPr>
            <w:tcW w:type="dxa" w:w="600"/>
            <w:tcBorders>
              <w:top w:val="single" w:color="D0DCE8" w:sz="4"/>
              <w:left w:val="single" w:color="D0DCE8" w:sz="4"/>
              <w:bottom w:val="single" w:color="D0DCE8" w:sz="4"/>
              <w:right w:val="single" w:color="D0DCE8" w:sz="4"/>
            </w:tcBorders>
            <w:shd w:fill="F2F6FA" w:val="clear"/>
            <w:tcMar>
              <w:top w:type="dxa" w:w="60"/>
              <w:left w:type="dxa" w:w="120"/>
              <w:bottom w:type="dxa" w:w="60"/>
              <w:right w:type="dxa" w:w="120"/>
            </w:tcMar>
          </w:tcPr>
          <w:p>
            <w:r>
              <w:rPr>
                <w:rFonts w:ascii="Arial" w:cs="Arial" w:eastAsia="Arial" w:hAnsi="Arial"/>
                <w:b w:val="false"/>
                <w:bCs w:val="false"/>
                <w:color w:val="445566"/>
                <w:sz w:val="20"/>
                <w:szCs w:val="20"/>
              </w:rPr>
              <w:t xml:space="preserve">2</w:t>
            </w:r>
          </w:p>
        </w:tc>
        <w:tc>
          <w:tcPr>
            <w:tcW w:type="dxa" w:w="1100"/>
            <w:tcBorders>
              <w:top w:val="single" w:color="D0DCE8" w:sz="4"/>
              <w:left w:val="single" w:color="D0DCE8" w:sz="4"/>
              <w:bottom w:val="single" w:color="D0DCE8" w:sz="4"/>
              <w:right w:val="single" w:color="D0DCE8" w:sz="4"/>
            </w:tcBorders>
            <w:shd w:fill="F2F6FA" w:val="clear"/>
            <w:tcMar>
              <w:top w:type="dxa" w:w="60"/>
              <w:left w:type="dxa" w:w="120"/>
              <w:bottom w:type="dxa" w:w="60"/>
              <w:right w:type="dxa" w:w="120"/>
            </w:tcMar>
          </w:tcPr>
          <w:p>
            <w:r>
              <w:rPr>
                <w:rFonts w:ascii="Arial" w:cs="Arial" w:eastAsia="Arial" w:hAnsi="Arial"/>
                <w:b/>
                <w:bCs/>
                <w:color w:val="76B900"/>
                <w:sz w:val="20"/>
                <w:szCs w:val="20"/>
              </w:rPr>
              <w:t xml:space="preserve">High</w:t>
            </w:r>
          </w:p>
        </w:tc>
        <w:tc>
          <w:tcPr>
            <w:tcW w:type="dxa" w:w="4200"/>
            <w:tcBorders>
              <w:top w:val="single" w:color="D0DCE8" w:sz="4"/>
              <w:left w:val="single" w:color="D0DCE8" w:sz="4"/>
              <w:bottom w:val="single" w:color="D0DCE8" w:sz="4"/>
              <w:right w:val="single" w:color="D0DCE8" w:sz="4"/>
            </w:tcBorders>
            <w:shd w:fill="F2F6FA" w:val="clear"/>
            <w:tcMar>
              <w:top w:type="dxa" w:w="60"/>
              <w:left w:type="dxa" w:w="120"/>
              <w:bottom w:type="dxa" w:w="60"/>
              <w:right w:type="dxa" w:w="120"/>
            </w:tcMar>
          </w:tcPr>
          <w:p>
            <w:r>
              <w:rPr>
                <w:rFonts w:ascii="Arial" w:cs="Arial" w:eastAsia="Arial" w:hAnsi="Arial"/>
                <w:b w:val="false"/>
                <w:bCs w:val="false"/>
                <w:color w:val="445566"/>
                <w:sz w:val="20"/>
                <w:szCs w:val="20"/>
              </w:rPr>
              <w:t xml:space="preserve">DoseSpot trust line</w:t>
            </w:r>
          </w:p>
        </w:tc>
        <w:tc>
          <w:tcPr>
            <w:tcW w:type="dxa" w:w="3460"/>
            <w:tcBorders>
              <w:top w:val="single" w:color="D0DCE8" w:sz="4"/>
              <w:left w:val="single" w:color="D0DCE8" w:sz="4"/>
              <w:bottom w:val="single" w:color="D0DCE8" w:sz="4"/>
              <w:right w:val="single" w:color="D0DCE8" w:sz="4"/>
            </w:tcBorders>
            <w:shd w:fill="F2F6FA" w:val="clear"/>
            <w:tcMar>
              <w:top w:type="dxa" w:w="60"/>
              <w:left w:type="dxa" w:w="120"/>
              <w:bottom w:type="dxa" w:w="60"/>
              <w:right w:type="dxa" w:w="120"/>
            </w:tcMar>
          </w:tcPr>
          <w:p>
            <w:r>
              <w:rPr>
                <w:rFonts w:ascii="Arial" w:cs="Arial" w:eastAsia="Arial" w:hAnsi="Arial"/>
                <w:b w:val="false"/>
                <w:bCs w:val="false"/>
                <w:color w:val="445566"/>
                <w:sz w:val="20"/>
                <w:szCs w:val="20"/>
              </w:rPr>
              <w:t xml:space="preserve">Supports compliance/trust with minimal visual impact</w:t>
            </w:r>
          </w:p>
        </w:tc>
      </w:tr>
      <w:tr>
        <w:tc>
          <w:tcPr>
            <w:tcW w:type="dxa" w:w="600"/>
            <w:tcBorders>
              <w:top w:val="single" w:color="D0DCE8" w:sz="4"/>
              <w:left w:val="single" w:color="D0DCE8" w:sz="4"/>
              <w:bottom w:val="single" w:color="D0DCE8" w:sz="4"/>
              <w:right w:val="single" w:color="D0DCE8" w:sz="4"/>
            </w:tcBorders>
            <w:shd w:fill="FFFFFF" w:val="clear"/>
            <w:tcMar>
              <w:top w:type="dxa" w:w="60"/>
              <w:left w:type="dxa" w:w="120"/>
              <w:bottom w:type="dxa" w:w="60"/>
              <w:right w:type="dxa" w:w="120"/>
            </w:tcMar>
          </w:tcPr>
          <w:p>
            <w:r>
              <w:rPr>
                <w:rFonts w:ascii="Arial" w:cs="Arial" w:eastAsia="Arial" w:hAnsi="Arial"/>
                <w:b w:val="false"/>
                <w:bCs w:val="false"/>
                <w:color w:val="445566"/>
                <w:sz w:val="20"/>
                <w:szCs w:val="20"/>
              </w:rPr>
              <w:t xml:space="preserve">3</w:t>
            </w:r>
          </w:p>
        </w:tc>
        <w:tc>
          <w:tcPr>
            <w:tcW w:type="dxa" w:w="1100"/>
            <w:tcBorders>
              <w:top w:val="single" w:color="D0DCE8" w:sz="4"/>
              <w:left w:val="single" w:color="D0DCE8" w:sz="4"/>
              <w:bottom w:val="single" w:color="D0DCE8" w:sz="4"/>
              <w:right w:val="single" w:color="D0DCE8" w:sz="4"/>
            </w:tcBorders>
            <w:shd w:fill="FFFFFF" w:val="clear"/>
            <w:tcMar>
              <w:top w:type="dxa" w:w="60"/>
              <w:left w:type="dxa" w:w="120"/>
              <w:bottom w:type="dxa" w:w="60"/>
              <w:right w:type="dxa" w:w="120"/>
            </w:tcMar>
          </w:tcPr>
          <w:p>
            <w:r>
              <w:rPr>
                <w:rFonts w:ascii="Arial" w:cs="Arial" w:eastAsia="Arial" w:hAnsi="Arial"/>
                <w:b/>
                <w:bCs/>
                <w:color w:val="E07000"/>
                <w:sz w:val="20"/>
                <w:szCs w:val="20"/>
              </w:rPr>
              <w:t xml:space="preserve">High</w:t>
            </w:r>
          </w:p>
        </w:tc>
        <w:tc>
          <w:tcPr>
            <w:tcW w:type="dxa" w:w="4200"/>
            <w:tcBorders>
              <w:top w:val="single" w:color="D0DCE8" w:sz="4"/>
              <w:left w:val="single" w:color="D0DCE8" w:sz="4"/>
              <w:bottom w:val="single" w:color="D0DCE8" w:sz="4"/>
              <w:right w:val="single" w:color="D0DCE8" w:sz="4"/>
            </w:tcBorders>
            <w:shd w:fill="FFFFFF" w:val="clear"/>
            <w:tcMar>
              <w:top w:type="dxa" w:w="60"/>
              <w:left w:type="dxa" w:w="120"/>
              <w:bottom w:type="dxa" w:w="60"/>
              <w:right w:type="dxa" w:w="120"/>
            </w:tcMar>
          </w:tcPr>
          <w:p>
            <w:r>
              <w:rPr>
                <w:rFonts w:ascii="Arial" w:cs="Arial" w:eastAsia="Arial" w:hAnsi="Arial"/>
                <w:b w:val="false"/>
                <w:bCs w:val="false"/>
                <w:color w:val="445566"/>
                <w:sz w:val="20"/>
                <w:szCs w:val="20"/>
              </w:rPr>
              <w:t xml:space="preserve">Technology &amp; Platform section</w:t>
            </w:r>
          </w:p>
        </w:tc>
        <w:tc>
          <w:tcPr>
            <w:tcW w:type="dxa" w:w="3460"/>
            <w:tcBorders>
              <w:top w:val="single" w:color="D0DCE8" w:sz="4"/>
              <w:left w:val="single" w:color="D0DCE8" w:sz="4"/>
              <w:bottom w:val="single" w:color="D0DCE8" w:sz="4"/>
              <w:right w:val="single" w:color="D0DCE8" w:sz="4"/>
            </w:tcBorders>
            <w:shd w:fill="FFFFFF" w:val="clear"/>
            <w:tcMar>
              <w:top w:type="dxa" w:w="60"/>
              <w:left w:type="dxa" w:w="120"/>
              <w:bottom w:type="dxa" w:w="60"/>
              <w:right w:type="dxa" w:w="120"/>
            </w:tcMar>
          </w:tcPr>
          <w:p>
            <w:r>
              <w:rPr>
                <w:rFonts w:ascii="Arial" w:cs="Arial" w:eastAsia="Arial" w:hAnsi="Arial"/>
                <w:b w:val="false"/>
                <w:bCs w:val="false"/>
                <w:color w:val="445566"/>
                <w:sz w:val="20"/>
                <w:szCs w:val="20"/>
              </w:rPr>
              <w:t xml:space="preserve">Introduces RadiantLogiq without disrupting patient copy</w:t>
            </w:r>
          </w:p>
        </w:tc>
      </w:tr>
      <w:tr>
        <w:tc>
          <w:tcPr>
            <w:tcW w:type="dxa" w:w="600"/>
            <w:tcBorders>
              <w:top w:val="single" w:color="D0DCE8" w:sz="4"/>
              <w:left w:val="single" w:color="D0DCE8" w:sz="4"/>
              <w:bottom w:val="single" w:color="D0DCE8" w:sz="4"/>
              <w:right w:val="single" w:color="D0DCE8" w:sz="4"/>
            </w:tcBorders>
            <w:shd w:fill="F2F6FA" w:val="clear"/>
            <w:tcMar>
              <w:top w:type="dxa" w:w="60"/>
              <w:left w:type="dxa" w:w="120"/>
              <w:bottom w:type="dxa" w:w="60"/>
              <w:right w:type="dxa" w:w="120"/>
            </w:tcMar>
          </w:tcPr>
          <w:p>
            <w:r>
              <w:rPr>
                <w:rFonts w:ascii="Arial" w:cs="Arial" w:eastAsia="Arial" w:hAnsi="Arial"/>
                <w:b w:val="false"/>
                <w:bCs w:val="false"/>
                <w:color w:val="445566"/>
                <w:sz w:val="20"/>
                <w:szCs w:val="20"/>
              </w:rPr>
              <w:t xml:space="preserve">4</w:t>
            </w:r>
          </w:p>
        </w:tc>
        <w:tc>
          <w:tcPr>
            <w:tcW w:type="dxa" w:w="1100"/>
            <w:tcBorders>
              <w:top w:val="single" w:color="D0DCE8" w:sz="4"/>
              <w:left w:val="single" w:color="D0DCE8" w:sz="4"/>
              <w:bottom w:val="single" w:color="D0DCE8" w:sz="4"/>
              <w:right w:val="single" w:color="D0DCE8" w:sz="4"/>
            </w:tcBorders>
            <w:shd w:fill="F2F6FA" w:val="clear"/>
            <w:tcMar>
              <w:top w:type="dxa" w:w="60"/>
              <w:left w:type="dxa" w:w="120"/>
              <w:bottom w:type="dxa" w:w="60"/>
              <w:right w:type="dxa" w:w="120"/>
            </w:tcMar>
          </w:tcPr>
          <w:p>
            <w:r>
              <w:rPr>
                <w:rFonts w:ascii="Arial" w:cs="Arial" w:eastAsia="Arial" w:hAnsi="Arial"/>
                <w:b/>
                <w:bCs/>
                <w:color w:val="E07000"/>
                <w:sz w:val="20"/>
                <w:szCs w:val="20"/>
              </w:rPr>
              <w:t xml:space="preserve">Medium</w:t>
            </w:r>
          </w:p>
        </w:tc>
        <w:tc>
          <w:tcPr>
            <w:tcW w:type="dxa" w:w="4200"/>
            <w:tcBorders>
              <w:top w:val="single" w:color="D0DCE8" w:sz="4"/>
              <w:left w:val="single" w:color="D0DCE8" w:sz="4"/>
              <w:bottom w:val="single" w:color="D0DCE8" w:sz="4"/>
              <w:right w:val="single" w:color="D0DCE8" w:sz="4"/>
            </w:tcBorders>
            <w:shd w:fill="F2F6FA" w:val="clear"/>
            <w:tcMar>
              <w:top w:type="dxa" w:w="60"/>
              <w:left w:type="dxa" w:w="120"/>
              <w:bottom w:type="dxa" w:w="60"/>
              <w:right w:type="dxa" w:w="120"/>
            </w:tcMar>
          </w:tcPr>
          <w:p>
            <w:r>
              <w:rPr>
                <w:rFonts w:ascii="Arial" w:cs="Arial" w:eastAsia="Arial" w:hAnsi="Arial"/>
                <w:b w:val="false"/>
                <w:bCs w:val="false"/>
                <w:color w:val="445566"/>
                <w:sz w:val="20"/>
                <w:szCs w:val="20"/>
              </w:rPr>
              <w:t xml:space="preserve">Footer credibility strip</w:t>
            </w:r>
          </w:p>
        </w:tc>
        <w:tc>
          <w:tcPr>
            <w:tcW w:type="dxa" w:w="3460"/>
            <w:tcBorders>
              <w:top w:val="single" w:color="D0DCE8" w:sz="4"/>
              <w:left w:val="single" w:color="D0DCE8" w:sz="4"/>
              <w:bottom w:val="single" w:color="D0DCE8" w:sz="4"/>
              <w:right w:val="single" w:color="D0DCE8" w:sz="4"/>
            </w:tcBorders>
            <w:shd w:fill="F2F6FA" w:val="clear"/>
            <w:tcMar>
              <w:top w:type="dxa" w:w="60"/>
              <w:left w:type="dxa" w:w="120"/>
              <w:bottom w:type="dxa" w:w="60"/>
              <w:right w:type="dxa" w:w="120"/>
            </w:tcMar>
          </w:tcPr>
          <w:p>
            <w:r>
              <w:rPr>
                <w:rFonts w:ascii="Arial" w:cs="Arial" w:eastAsia="Arial" w:hAnsi="Arial"/>
                <w:b w:val="false"/>
                <w:bCs w:val="false"/>
                <w:color w:val="445566"/>
                <w:sz w:val="20"/>
                <w:szCs w:val="20"/>
              </w:rPr>
              <w:t xml:space="preserve">Low-risk persistent branding</w:t>
            </w:r>
          </w:p>
        </w:tc>
      </w:tr>
      <w:tr>
        <w:tc>
          <w:tcPr>
            <w:tcW w:type="dxa" w:w="600"/>
            <w:tcBorders>
              <w:top w:val="single" w:color="D0DCE8" w:sz="4"/>
              <w:left w:val="single" w:color="D0DCE8" w:sz="4"/>
              <w:bottom w:val="single" w:color="D0DCE8" w:sz="4"/>
              <w:right w:val="single" w:color="D0DCE8" w:sz="4"/>
            </w:tcBorders>
            <w:shd w:fill="FFFFFF" w:val="clear"/>
            <w:tcMar>
              <w:top w:type="dxa" w:w="60"/>
              <w:left w:type="dxa" w:w="120"/>
              <w:bottom w:type="dxa" w:w="60"/>
              <w:right w:type="dxa" w:w="120"/>
            </w:tcMar>
          </w:tcPr>
          <w:p>
            <w:r>
              <w:rPr>
                <w:rFonts w:ascii="Arial" w:cs="Arial" w:eastAsia="Arial" w:hAnsi="Arial"/>
                <w:b w:val="false"/>
                <w:bCs w:val="false"/>
                <w:color w:val="445566"/>
                <w:sz w:val="20"/>
                <w:szCs w:val="20"/>
              </w:rPr>
              <w:t xml:space="preserve">5</w:t>
            </w:r>
          </w:p>
        </w:tc>
        <w:tc>
          <w:tcPr>
            <w:tcW w:type="dxa" w:w="1100"/>
            <w:tcBorders>
              <w:top w:val="single" w:color="D0DCE8" w:sz="4"/>
              <w:left w:val="single" w:color="D0DCE8" w:sz="4"/>
              <w:bottom w:val="single" w:color="D0DCE8" w:sz="4"/>
              <w:right w:val="single" w:color="D0DCE8" w:sz="4"/>
            </w:tcBorders>
            <w:shd w:fill="FFFFFF" w:val="clear"/>
            <w:tcMar>
              <w:top w:type="dxa" w:w="60"/>
              <w:left w:type="dxa" w:w="120"/>
              <w:bottom w:type="dxa" w:w="60"/>
              <w:right w:type="dxa" w:w="120"/>
            </w:tcMar>
          </w:tcPr>
          <w:p>
            <w:r>
              <w:rPr>
                <w:rFonts w:ascii="Arial" w:cs="Arial" w:eastAsia="Arial" w:hAnsi="Arial"/>
                <w:b/>
                <w:bCs/>
                <w:color w:val="445566"/>
                <w:sz w:val="20"/>
                <w:szCs w:val="20"/>
              </w:rPr>
              <w:t xml:space="preserve">Optional</w:t>
            </w:r>
          </w:p>
        </w:tc>
        <w:tc>
          <w:tcPr>
            <w:tcW w:type="dxa" w:w="4200"/>
            <w:tcBorders>
              <w:top w:val="single" w:color="D0DCE8" w:sz="4"/>
              <w:left w:val="single" w:color="D0DCE8" w:sz="4"/>
              <w:bottom w:val="single" w:color="D0DCE8" w:sz="4"/>
              <w:right w:val="single" w:color="D0DCE8" w:sz="4"/>
            </w:tcBorders>
            <w:shd w:fill="FFFFFF" w:val="clear"/>
            <w:tcMar>
              <w:top w:type="dxa" w:w="60"/>
              <w:left w:type="dxa" w:w="120"/>
              <w:bottom w:type="dxa" w:w="60"/>
              <w:right w:type="dxa" w:w="120"/>
            </w:tcMar>
          </w:tcPr>
          <w:p>
            <w:r>
              <w:rPr>
                <w:rFonts w:ascii="Arial" w:cs="Arial" w:eastAsia="Arial" w:hAnsi="Arial"/>
                <w:b w:val="false"/>
                <w:bCs w:val="false"/>
                <w:color w:val="445566"/>
                <w:sz w:val="20"/>
                <w:szCs w:val="20"/>
              </w:rPr>
              <w:t xml:space="preserve">Provider-facing micro-copy</w:t>
            </w:r>
          </w:p>
        </w:tc>
        <w:tc>
          <w:tcPr>
            <w:tcW w:type="dxa" w:w="3460"/>
            <w:tcBorders>
              <w:top w:val="single" w:color="D0DCE8" w:sz="4"/>
              <w:left w:val="single" w:color="D0DCE8" w:sz="4"/>
              <w:bottom w:val="single" w:color="D0DCE8" w:sz="4"/>
              <w:right w:val="single" w:color="D0DCE8" w:sz="4"/>
            </w:tcBorders>
            <w:shd w:fill="FFFFFF" w:val="clear"/>
            <w:tcMar>
              <w:top w:type="dxa" w:w="60"/>
              <w:left w:type="dxa" w:w="120"/>
              <w:bottom w:type="dxa" w:w="60"/>
              <w:right w:type="dxa" w:w="120"/>
            </w:tcMar>
          </w:tcPr>
          <w:p>
            <w:r>
              <w:rPr>
                <w:rFonts w:ascii="Arial" w:cs="Arial" w:eastAsia="Arial" w:hAnsi="Arial"/>
                <w:b w:val="false"/>
                <w:bCs w:val="false"/>
                <w:color w:val="445566"/>
                <w:sz w:val="20"/>
                <w:szCs w:val="20"/>
              </w:rPr>
              <w:t xml:space="preserve">Useful later if you want to attract hospital interest</w:t>
            </w:r>
          </w:p>
        </w:tc>
      </w:tr>
    </w:tbl>
    <w:p>
      <w:pPr>
        <w:spacing w:before="200" w:after="0"/>
      </w:pPr>
      <w:r>
        <w:t xml:space="preserve"/>
      </w:r>
    </w:p>
    <w:p>
      <w:pPr>
        <w:pBdr>
          <w:bottom w:val="single" w:color="0A1628" w:sz="6" w:space="2"/>
        </w:pBdr>
        <w:spacing w:before="300" w:after="100"/>
      </w:pPr>
      <w:r>
        <w:rPr>
          <w:rFonts w:ascii="Arial" w:cs="Arial" w:eastAsia="Arial" w:hAnsi="Arial"/>
          <w:b/>
          <w:bCs/>
          <w:color w:val="0A1628"/>
          <w:sz w:val="28"/>
          <w:szCs w:val="28"/>
        </w:rPr>
        <w:t xml:space="preserve">Section 4: Wording &amp; Compliance Rules Summary</w:t>
      </w:r>
    </w:p>
    <w:p>
      <w:pPr>
        <w:spacing w:before="240" w:after="80"/>
      </w:pPr>
      <w:r>
        <w:rPr>
          <w:rFonts w:ascii="Arial" w:cs="Arial" w:eastAsia="Arial" w:hAnsi="Arial"/>
          <w:b/>
          <w:bCs/>
          <w:color w:val="00B4D8"/>
          <w:sz w:val="24"/>
          <w:szCs w:val="24"/>
        </w:rPr>
        <w:t xml:space="preserve">Brand Naming Rules</w:t>
      </w:r>
    </w:p>
    <w:p>
      <w:pPr>
        <w:spacing w:before="80" w:after="40"/>
        <w:ind w:left="180"/>
      </w:pPr>
      <w:r>
        <w:rPr>
          <w:rFonts w:ascii="Arial" w:cs="Arial" w:eastAsia="Arial" w:hAnsi="Arial"/>
          <w:sz w:val="22"/>
          <w:szCs w:val="22"/>
        </w:rPr>
        <w:t xml:space="preserve">✅  </w:t>
      </w:r>
      <w:r>
        <w:rPr>
          <w:rFonts w:ascii="Arial" w:cs="Arial" w:eastAsia="Arial" w:hAnsi="Arial"/>
          <w:b/>
          <w:bCs/>
          <w:color w:val="0A1628"/>
          <w:sz w:val="22"/>
          <w:szCs w:val="22"/>
        </w:rPr>
        <w:t xml:space="preserve">Correct in sentences: </w:t>
      </w:r>
      <w:r>
        <w:rPr>
          <w:rFonts w:ascii="Arial" w:cs="Arial" w:eastAsia="Arial" w:hAnsi="Arial"/>
          <w:color w:val="445566"/>
          <w:sz w:val="22"/>
          <w:szCs w:val="22"/>
        </w:rPr>
        <w:t xml:space="preserve">"RadiantLogiq is a member of the NVIDIA Inception program."</w:t>
      </w:r>
    </w:p>
    <w:p>
      <w:pPr>
        <w:spacing w:before="80" w:after="40"/>
        <w:ind w:left="180"/>
      </w:pPr>
      <w:r>
        <w:rPr>
          <w:rFonts w:ascii="Arial" w:cs="Arial" w:eastAsia="Arial" w:hAnsi="Arial"/>
          <w:sz w:val="22"/>
          <w:szCs w:val="22"/>
        </w:rPr>
        <w:t xml:space="preserve">✅  </w:t>
      </w:r>
      <w:r>
        <w:rPr>
          <w:rFonts w:ascii="Arial" w:cs="Arial" w:eastAsia="Arial" w:hAnsi="Arial"/>
          <w:b/>
          <w:bCs/>
          <w:color w:val="0A1628"/>
          <w:sz w:val="22"/>
          <w:szCs w:val="22"/>
        </w:rPr>
        <w:t xml:space="preserve">Correct in titles/headlines: </w:t>
      </w:r>
      <w:r>
        <w:rPr>
          <w:rFonts w:ascii="Arial" w:cs="Arial" w:eastAsia="Arial" w:hAnsi="Arial"/>
          <w:color w:val="445566"/>
          <w:sz w:val="22"/>
          <w:szCs w:val="22"/>
        </w:rPr>
        <w:t xml:space="preserve">"NVIDIA Inception Program" (capital P)</w:t>
      </w:r>
    </w:p>
    <w:p>
      <w:pPr>
        <w:spacing w:before="80" w:after="40"/>
        <w:ind w:left="180"/>
      </w:pPr>
      <w:r>
        <w:rPr>
          <w:rFonts w:ascii="Arial" w:cs="Arial" w:eastAsia="Arial" w:hAnsi="Arial"/>
          <w:sz w:val="22"/>
          <w:szCs w:val="22"/>
        </w:rPr>
        <w:t xml:space="preserve">✅  </w:t>
      </w:r>
      <w:r>
        <w:rPr>
          <w:rFonts w:ascii="Arial" w:cs="Arial" w:eastAsia="Arial" w:hAnsi="Arial"/>
          <w:b/>
          <w:bCs/>
          <w:color w:val="0A1628"/>
          <w:sz w:val="22"/>
          <w:szCs w:val="22"/>
        </w:rPr>
        <w:t xml:space="preserve">Social media tag: </w:t>
      </w:r>
      <w:r>
        <w:rPr>
          <w:rFonts w:ascii="Arial" w:cs="Arial" w:eastAsia="Arial" w:hAnsi="Arial"/>
          <w:color w:val="445566"/>
          <w:sz w:val="22"/>
          <w:szCs w:val="22"/>
        </w:rPr>
        <w:t xml:space="preserve">#NVIDIAInception in any social post about the program</w:t>
      </w:r>
    </w:p>
    <w:p>
      <w:pPr>
        <w:spacing w:before="80" w:after="40"/>
        <w:ind w:left="180"/>
      </w:pPr>
      <w:r>
        <w:rPr>
          <w:rFonts w:ascii="Arial" w:cs="Arial" w:eastAsia="Arial" w:hAnsi="Arial"/>
          <w:sz w:val="22"/>
          <w:szCs w:val="22"/>
        </w:rPr>
        <w:t xml:space="preserve">✅  </w:t>
      </w:r>
      <w:r>
        <w:rPr>
          <w:rFonts w:ascii="Arial" w:cs="Arial" w:eastAsia="Arial" w:hAnsi="Arial"/>
          <w:b/>
          <w:bCs/>
          <w:color w:val="0A1628"/>
          <w:sz w:val="22"/>
          <w:szCs w:val="22"/>
        </w:rPr>
        <w:t xml:space="preserve">Correct company reference: </w:t>
      </w:r>
      <w:r>
        <w:rPr>
          <w:rFonts w:ascii="Arial" w:cs="Arial" w:eastAsia="Arial" w:hAnsi="Arial"/>
          <w:color w:val="445566"/>
          <w:sz w:val="22"/>
          <w:szCs w:val="22"/>
        </w:rPr>
        <w:t xml:space="preserve">"Radiant Logiq Corporation" (legal name) or "RadiantLogiq" (brand)</w:t>
      </w:r>
    </w:p>
    <w:p>
      <w:pPr>
        <w:spacing w:before="80" w:after="40"/>
        <w:ind w:left="180"/>
      </w:pPr>
      <w:r>
        <w:rPr>
          <w:rFonts w:ascii="Arial" w:cs="Arial" w:eastAsia="Arial" w:hAnsi="Arial"/>
          <w:sz w:val="22"/>
          <w:szCs w:val="22"/>
        </w:rPr>
        <w:t xml:space="preserve">❌  </w:t>
      </w:r>
      <w:r>
        <w:rPr>
          <w:rFonts w:ascii="Arial" w:cs="Arial" w:eastAsia="Arial" w:hAnsi="Arial"/>
          <w:color w:val="C0392B"/>
          <w:sz w:val="22"/>
          <w:szCs w:val="22"/>
        </w:rPr>
        <w:t xml:space="preserve">"Powered by NVIDIA" — not permitted</w:t>
      </w:r>
    </w:p>
    <w:p>
      <w:pPr>
        <w:spacing w:before="80" w:after="40"/>
        <w:ind w:left="180"/>
      </w:pPr>
      <w:r>
        <w:rPr>
          <w:rFonts w:ascii="Arial" w:cs="Arial" w:eastAsia="Arial" w:hAnsi="Arial"/>
          <w:sz w:val="22"/>
          <w:szCs w:val="22"/>
        </w:rPr>
        <w:t xml:space="preserve">❌  </w:t>
      </w:r>
      <w:r>
        <w:rPr>
          <w:rFonts w:ascii="Arial" w:cs="Arial" w:eastAsia="Arial" w:hAnsi="Arial"/>
          <w:color w:val="C0392B"/>
          <w:sz w:val="22"/>
          <w:szCs w:val="22"/>
        </w:rPr>
        <w:t xml:space="preserve">"Partnered with NVIDIA" — not permitted</w:t>
      </w:r>
    </w:p>
    <w:p>
      <w:pPr>
        <w:spacing w:before="80" w:after="40"/>
        <w:ind w:left="180"/>
      </w:pPr>
      <w:r>
        <w:rPr>
          <w:rFonts w:ascii="Arial" w:cs="Arial" w:eastAsia="Arial" w:hAnsi="Arial"/>
          <w:sz w:val="22"/>
          <w:szCs w:val="22"/>
        </w:rPr>
        <w:t xml:space="preserve">❌  </w:t>
      </w:r>
      <w:r>
        <w:rPr>
          <w:rFonts w:ascii="Arial" w:cs="Arial" w:eastAsia="Arial" w:hAnsi="Arial"/>
          <w:color w:val="C0392B"/>
          <w:sz w:val="22"/>
          <w:szCs w:val="22"/>
        </w:rPr>
        <w:t xml:space="preserve">"Approved by NVIDIA" — not permitted</w:t>
      </w:r>
    </w:p>
    <w:p>
      <w:pPr>
        <w:spacing w:before="80" w:after="40"/>
        <w:ind w:left="180"/>
      </w:pPr>
      <w:r>
        <w:rPr>
          <w:rFonts w:ascii="Arial" w:cs="Arial" w:eastAsia="Arial" w:hAnsi="Arial"/>
          <w:sz w:val="22"/>
          <w:szCs w:val="22"/>
        </w:rPr>
        <w:t xml:space="preserve">❌  </w:t>
      </w:r>
      <w:r>
        <w:rPr>
          <w:rFonts w:ascii="Arial" w:cs="Arial" w:eastAsia="Arial" w:hAnsi="Arial"/>
          <w:color w:val="C0392B"/>
          <w:sz w:val="22"/>
          <w:szCs w:val="22"/>
        </w:rPr>
        <w:t xml:space="preserve">"NV Inception," "Inception Program," or "Inception" alone — not permitted</w:t>
      </w:r>
    </w:p>
    <w:p>
      <w:pPr>
        <w:spacing w:before="80" w:after="40"/>
        <w:ind w:left="180"/>
      </w:pPr>
      <w:r>
        <w:rPr>
          <w:rFonts w:ascii="Arial" w:cs="Arial" w:eastAsia="Arial" w:hAnsi="Arial"/>
          <w:sz w:val="22"/>
          <w:szCs w:val="22"/>
        </w:rPr>
        <w:t xml:space="preserve">❌  </w:t>
      </w:r>
      <w:r>
        <w:rPr>
          <w:rFonts w:ascii="Arial" w:cs="Arial" w:eastAsia="Arial" w:hAnsi="Arial"/>
          <w:color w:val="C0392B"/>
          <w:sz w:val="22"/>
          <w:szCs w:val="22"/>
        </w:rPr>
        <w:t xml:space="preserve">"Nvidia Inception Program" (title case) or "NVIDIA INCEPTION PROGRAM" (all caps) — not permitted</w:t>
      </w:r>
    </w:p>
    <w:p>
      <w:pPr>
        <w:spacing w:before="120" w:after="0"/>
      </w:pPr>
      <w:r>
        <w:t xml:space="preserve"/>
      </w:r>
    </w:p>
    <w:p>
      <w:pPr>
        <w:spacing w:before="240" w:after="80"/>
      </w:pPr>
      <w:r>
        <w:rPr>
          <w:rFonts w:ascii="Arial" w:cs="Arial" w:eastAsia="Arial" w:hAnsi="Arial"/>
          <w:b/>
          <w:bCs/>
          <w:color w:val="00B4D8"/>
          <w:sz w:val="24"/>
          <w:szCs w:val="24"/>
        </w:rPr>
        <w:t xml:space="preserve">AI &amp; Clinical Language Rules</w:t>
      </w:r>
    </w:p>
    <w:p>
      <w:pPr>
        <w:spacing w:before="80" w:after="40"/>
        <w:ind w:left="180"/>
      </w:pPr>
      <w:r>
        <w:rPr>
          <w:rFonts w:ascii="Arial" w:cs="Arial" w:eastAsia="Arial" w:hAnsi="Arial"/>
          <w:sz w:val="22"/>
          <w:szCs w:val="22"/>
        </w:rPr>
        <w:t xml:space="preserve">✅  </w:t>
      </w:r>
      <w:r>
        <w:rPr>
          <w:rFonts w:ascii="Arial" w:cs="Arial" w:eastAsia="Arial" w:hAnsi="Arial"/>
          <w:b/>
          <w:bCs/>
          <w:color w:val="0A1628"/>
          <w:sz w:val="22"/>
          <w:szCs w:val="22"/>
        </w:rPr>
        <w:t xml:space="preserve">Safe: </w:t>
      </w:r>
      <w:r>
        <w:rPr>
          <w:rFonts w:ascii="Arial" w:cs="Arial" w:eastAsia="Arial" w:hAnsi="Arial"/>
          <w:color w:val="445566"/>
          <w:sz w:val="22"/>
          <w:szCs w:val="22"/>
        </w:rPr>
        <w:t xml:space="preserve">Workflow optimization, intelligent data processing, scalable telehealth operations</w:t>
      </w:r>
    </w:p>
    <w:p>
      <w:pPr>
        <w:spacing w:before="80" w:after="40"/>
        <w:ind w:left="180"/>
      </w:pPr>
      <w:r>
        <w:rPr>
          <w:rFonts w:ascii="Arial" w:cs="Arial" w:eastAsia="Arial" w:hAnsi="Arial"/>
          <w:sz w:val="22"/>
          <w:szCs w:val="22"/>
        </w:rPr>
        <w:t xml:space="preserve">✅  </w:t>
      </w:r>
      <w:r>
        <w:rPr>
          <w:rFonts w:ascii="Arial" w:cs="Arial" w:eastAsia="Arial" w:hAnsi="Arial"/>
          <w:b/>
          <w:bCs/>
          <w:color w:val="0A1628"/>
          <w:sz w:val="22"/>
          <w:szCs w:val="22"/>
        </w:rPr>
        <w:t xml:space="preserve">Safe: </w:t>
      </w:r>
      <w:r>
        <w:rPr>
          <w:rFonts w:ascii="Arial" w:cs="Arial" w:eastAsia="Arial" w:hAnsi="Arial"/>
          <w:color w:val="445566"/>
          <w:sz w:val="22"/>
          <w:szCs w:val="22"/>
        </w:rPr>
        <w:t xml:space="preserve">Clinical decision support tools (for provider-facing copy only)</w:t>
      </w:r>
    </w:p>
    <w:p>
      <w:pPr>
        <w:spacing w:before="80" w:after="40"/>
        <w:ind w:left="180"/>
      </w:pPr>
      <w:r>
        <w:rPr>
          <w:rFonts w:ascii="Arial" w:cs="Arial" w:eastAsia="Arial" w:hAnsi="Arial"/>
          <w:sz w:val="22"/>
          <w:szCs w:val="22"/>
        </w:rPr>
        <w:t xml:space="preserve">❌  </w:t>
      </w:r>
      <w:r>
        <w:rPr>
          <w:rFonts w:ascii="Arial" w:cs="Arial" w:eastAsia="Arial" w:hAnsi="Arial"/>
          <w:color w:val="C0392B"/>
          <w:sz w:val="22"/>
          <w:szCs w:val="22"/>
        </w:rPr>
        <w:t xml:space="preserve">Do not promise diagnostic accuracy or clinical outcomes on the public telehealth page</w:t>
      </w:r>
    </w:p>
    <w:p>
      <w:pPr>
        <w:spacing w:before="80" w:after="40"/>
        <w:ind w:left="180"/>
      </w:pPr>
      <w:r>
        <w:rPr>
          <w:rFonts w:ascii="Arial" w:cs="Arial" w:eastAsia="Arial" w:hAnsi="Arial"/>
          <w:sz w:val="22"/>
          <w:szCs w:val="22"/>
        </w:rPr>
        <w:t xml:space="preserve">❌  </w:t>
      </w:r>
      <w:r>
        <w:rPr>
          <w:rFonts w:ascii="Arial" w:cs="Arial" w:eastAsia="Arial" w:hAnsi="Arial"/>
          <w:color w:val="C0392B"/>
          <w:sz w:val="22"/>
          <w:szCs w:val="22"/>
        </w:rPr>
        <w:t xml:space="preserve">Do not rewrite or remove existing prescribing, medication, or provider-disclaimer language</w:t>
      </w:r>
    </w:p>
    <w:p>
      <w:pPr>
        <w:spacing w:before="120" w:after="0"/>
      </w:pPr>
      <w:r>
        <w:t xml:space="preserve"/>
      </w:r>
    </w:p>
    <w:p>
      <w:pPr>
        <w:spacing w:before="240" w:after="80"/>
      </w:pPr>
      <w:r>
        <w:rPr>
          <w:rFonts w:ascii="Arial" w:cs="Arial" w:eastAsia="Arial" w:hAnsi="Arial"/>
          <w:b/>
          <w:bCs/>
          <w:color w:val="00B4D8"/>
          <w:sz w:val="24"/>
          <w:szCs w:val="24"/>
        </w:rPr>
        <w:t xml:space="preserve">Brand Identity Rules</w:t>
      </w:r>
    </w:p>
    <w:p>
      <w:pPr>
        <w:spacing w:before="80" w:after="40"/>
        <w:ind w:left="180"/>
      </w:pPr>
      <w:r>
        <w:rPr>
          <w:rFonts w:ascii="Arial" w:cs="Arial" w:eastAsia="Arial" w:hAnsi="Arial"/>
          <w:sz w:val="22"/>
          <w:szCs w:val="22"/>
        </w:rPr>
        <w:t xml:space="preserve">✅  </w:t>
      </w:r>
      <w:r>
        <w:rPr>
          <w:rFonts w:ascii="Arial" w:cs="Arial" w:eastAsia="Arial" w:hAnsi="Arial"/>
          <w:b/>
          <w:bCs/>
          <w:color w:val="0A1628"/>
          <w:sz w:val="22"/>
          <w:szCs w:val="22"/>
        </w:rPr>
        <w:t xml:space="preserve">Patient-facing brand: </w:t>
      </w:r>
      <w:r>
        <w:rPr>
          <w:rFonts w:ascii="Arial" w:cs="Arial" w:eastAsia="Arial" w:hAnsi="Arial"/>
          <w:color w:val="445566"/>
          <w:sz w:val="22"/>
          <w:szCs w:val="22"/>
        </w:rPr>
        <w:t xml:space="preserve">"Patriotic Virtual Telehealth" — the live patient-facing service brand</w:t>
      </w:r>
    </w:p>
    <w:p>
      <w:pPr>
        <w:spacing w:before="80" w:after="40"/>
        <w:ind w:left="180"/>
      </w:pPr>
      <w:r>
        <w:rPr>
          <w:rFonts w:ascii="Arial" w:cs="Arial" w:eastAsia="Arial" w:hAnsi="Arial"/>
          <w:sz w:val="22"/>
          <w:szCs w:val="22"/>
        </w:rPr>
        <w:t xml:space="preserve">✅  </w:t>
      </w:r>
      <w:r>
        <w:rPr>
          <w:rFonts w:ascii="Arial" w:cs="Arial" w:eastAsia="Arial" w:hAnsi="Arial"/>
          <w:b/>
          <w:bCs/>
          <w:color w:val="0A1628"/>
          <w:sz w:val="22"/>
          <w:szCs w:val="22"/>
        </w:rPr>
        <w:t xml:space="preserve">Technology platform: </w:t>
      </w:r>
      <w:r>
        <w:rPr>
          <w:rFonts w:ascii="Arial" w:cs="Arial" w:eastAsia="Arial" w:hAnsi="Arial"/>
          <w:color w:val="445566"/>
          <w:sz w:val="22"/>
          <w:szCs w:val="22"/>
        </w:rPr>
        <w:t xml:space="preserve">"RadiantLogiq" — the product/platform brand</w:t>
      </w:r>
    </w:p>
    <w:p>
      <w:pPr>
        <w:spacing w:before="80" w:after="40"/>
        <w:ind w:left="180"/>
      </w:pPr>
      <w:r>
        <w:rPr>
          <w:rFonts w:ascii="Arial" w:cs="Arial" w:eastAsia="Arial" w:hAnsi="Arial"/>
          <w:sz w:val="22"/>
          <w:szCs w:val="22"/>
        </w:rPr>
        <w:t xml:space="preserve">✅  </w:t>
      </w:r>
      <w:r>
        <w:rPr>
          <w:rFonts w:ascii="Arial" w:cs="Arial" w:eastAsia="Arial" w:hAnsi="Arial"/>
          <w:b/>
          <w:bCs/>
          <w:color w:val="0A1628"/>
          <w:sz w:val="22"/>
          <w:szCs w:val="22"/>
        </w:rPr>
        <w:t xml:space="preserve">Legal entity: </w:t>
      </w:r>
      <w:r>
        <w:rPr>
          <w:rFonts w:ascii="Arial" w:cs="Arial" w:eastAsia="Arial" w:hAnsi="Arial"/>
          <w:color w:val="445566"/>
          <w:sz w:val="22"/>
          <w:szCs w:val="22"/>
        </w:rPr>
        <w:t xml:space="preserve">"Radiant Logiq Corporation" — for legal/formal references</w:t>
      </w:r>
    </w:p>
    <w:p>
      <w:pPr>
        <w:pBdr>
          <w:left w:val="single" w:color="F7931E" w:sz="12" w:space="4"/>
        </w:pBdr>
        <w:shd w:fill="FFF8F0" w:val="clear"/>
        <w:spacing w:before="60" w:after="80"/>
        <w:ind w:left="360"/>
      </w:pPr>
      <w:r>
        <w:rPr>
          <w:rFonts w:ascii="Arial" w:cs="Arial" w:eastAsia="Arial" w:hAnsi="Arial"/>
          <w:b/>
          <w:bCs/>
          <w:color w:val="F7931E"/>
          <w:sz w:val="20"/>
          <w:szCs w:val="20"/>
        </w:rPr>
        <w:t xml:space="preserve">Developer note: </w:t>
      </w:r>
      <w:r>
        <w:rPr>
          <w:rFonts w:ascii="Arial" w:cs="Arial" w:eastAsia="Arial" w:hAnsi="Arial"/>
          <w:color w:val="445566"/>
          <w:sz w:val="20"/>
          <w:szCs w:val="20"/>
        </w:rPr>
        <w:t xml:space="preserve">Keep these brand identities distinct. Patriotic Virtual Telehealth is the consumer-facing name. RadiantLogiq is the technology platform powering it.</w:t>
      </w:r>
    </w:p>
    <w:p>
      <w:pPr>
        <w:spacing w:before="200" w:after="0"/>
      </w:pPr>
      <w:r>
        <w:t xml:space="preserve"/>
      </w:r>
    </w:p>
    <w:p>
      <w:pPr>
        <w:pBdr>
          <w:bottom w:val="single" w:color="0A1628" w:sz="6" w:space="2"/>
        </w:pBdr>
        <w:spacing w:before="300" w:after="100"/>
      </w:pPr>
      <w:r>
        <w:rPr>
          <w:rFonts w:ascii="Arial" w:cs="Arial" w:eastAsia="Arial" w:hAnsi="Arial"/>
          <w:b/>
          <w:bCs/>
          <w:color w:val="0A1628"/>
          <w:sz w:val="28"/>
          <w:szCs w:val="28"/>
        </w:rPr>
        <w:t xml:space="preserve">Section 5: Social Media Post Template</w:t>
      </w:r>
    </w:p>
    <w:p>
      <w:pPr>
        <w:spacing w:before="60" w:after="60"/>
      </w:pPr>
      <w:r>
        <w:rPr>
          <w:rFonts w:ascii="Arial" w:cs="Arial" w:eastAsia="Arial" w:hAnsi="Arial"/>
          <w:color w:val="445566"/>
          <w:sz w:val="22"/>
          <w:szCs w:val="22"/>
        </w:rPr>
        <w:t xml:space="preserve">When posting about NVIDIA Inception program membership on social media, use the format below. Include #NVIDIAInception so NVIDIA can identify and amplify the post.</w:t>
      </w:r>
    </w:p>
    <w:p>
      <w:pPr>
        <w:spacing w:before="80" w:after="0"/>
      </w:pPr>
      <w:r>
        <w:t xml:space="preserve"/>
      </w:r>
    </w:p>
    <w:p>
      <w:pPr>
        <w:spacing w:before="100" w:after="40"/>
        <w:ind w:left="240"/>
      </w:pPr>
      <w:r>
        <w:rPr>
          <w:rFonts w:ascii="Arial" w:cs="Arial" w:eastAsia="Arial" w:hAnsi="Arial"/>
          <w:b/>
          <w:bCs/>
          <w:color w:val="00B4D8"/>
          <w:sz w:val="20"/>
          <w:szCs w:val="20"/>
        </w:rPr>
        <w:t xml:space="preserve">Suggested social post (customize as needed)</w:t>
      </w:r>
    </w:p>
    <w:p>
      <w:pPr>
        <w:pBdr>
          <w:left w:val="single" w:color="00B4D8" w:sz="12" w:space="4"/>
        </w:pBdr>
        <w:shd w:fill="F0F7FB" w:val="clear"/>
        <w:spacing w:before="40" w:after="80"/>
        <w:ind w:left="240" w:right="240"/>
      </w:pPr>
      <w:r>
        <w:rPr>
          <w:rFonts w:ascii="Arial" w:cs="Arial" w:eastAsia="Arial" w:hAnsi="Arial"/>
          <w:i/>
          <w:iCs/>
          <w:color w:val="0A1628"/>
          <w:sz w:val="22"/>
          <w:szCs w:val="22"/>
        </w:rPr>
        <w:t xml:space="preserve">"Excited to share that RadiantLogiq is a member of the NVIDIA Inception program! We're building AI-powered clinical decision support and telehealth tools to transform healthcare delivery. #NVIDIAInception #HealthAI #Telehealth #Radiology"</w:t>
      </w:r>
    </w:p>
    <w:p>
      <w:pPr>
        <w:pBdr>
          <w:left w:val="single" w:color="F7931E" w:sz="12" w:space="4"/>
        </w:pBdr>
        <w:shd w:fill="FFF8F0" w:val="clear"/>
        <w:spacing w:before="60" w:after="80"/>
        <w:ind w:left="360"/>
      </w:pPr>
      <w:r>
        <w:rPr>
          <w:rFonts w:ascii="Arial" w:cs="Arial" w:eastAsia="Arial" w:hAnsi="Arial"/>
          <w:b/>
          <w:bCs/>
          <w:color w:val="F7931E"/>
          <w:sz w:val="20"/>
          <w:szCs w:val="20"/>
        </w:rPr>
        <w:t xml:space="preserve">Developer note: </w:t>
      </w:r>
      <w:r>
        <w:rPr>
          <w:rFonts w:ascii="Arial" w:cs="Arial" w:eastAsia="Arial" w:hAnsi="Arial"/>
          <w:color w:val="445566"/>
          <w:sz w:val="20"/>
          <w:szCs w:val="20"/>
        </w:rPr>
        <w:t xml:space="preserve">The NVIDIA Inception Program badge may also be used in the social image. In the post copy, use the program name in full: 'NVIDIA Inception program' (lowercase p in a sentence).</w:t>
      </w:r>
    </w:p>
    <w:p>
      <w:pPr>
        <w:spacing w:before="200" w:after="0"/>
      </w:pPr>
      <w:r>
        <w:t xml:space="preserve"/>
      </w:r>
    </w:p>
    <w:p>
      <w:pPr>
        <w:pBdr>
          <w:bottom w:val="single" w:color="0A1628" w:sz="6" w:space="2"/>
        </w:pBdr>
        <w:spacing w:before="300" w:after="100"/>
      </w:pPr>
      <w:r>
        <w:rPr>
          <w:rFonts w:ascii="Arial" w:cs="Arial" w:eastAsia="Arial" w:hAnsi="Arial"/>
          <w:b/>
          <w:bCs/>
          <w:color w:val="0A1628"/>
          <w:sz w:val="28"/>
          <w:szCs w:val="28"/>
        </w:rPr>
        <w:t xml:space="preserve">Section 6: Ready-to-Send Developer Summary</w:t>
      </w:r>
    </w:p>
    <w:p>
      <w:pPr>
        <w:pBdr>
          <w:left w:val="single" w:color="00B4D8" w:sz="16" w:space="4"/>
        </w:pBdr>
        <w:shd w:fill="F2F6FA" w:val="clear"/>
        <w:spacing w:before="120" w:after="120"/>
        <w:ind w:left="240" w:right="240"/>
      </w:pPr>
      <w:r>
        <w:rPr>
          <w:rFonts w:ascii="Arial" w:cs="Arial" w:eastAsia="Arial" w:hAnsi="Arial"/>
          <w:color w:val="445566"/>
          <w:sz w:val="22"/>
          <w:szCs w:val="22"/>
        </w:rPr>
        <w:t xml:space="preserve">Please keep the existing site design and most existing wording intact. Add only the small copy updates in this document so the site remains patient-friendly and LegitScript-safe, while introducing RadiantLogiq, DoseSpot, and NVIDIA Inception program credibility in subtle, trust-oriented locations.</w:t>
      </w:r>
    </w:p>
    <w:p>
      <w:pPr>
        <w:spacing w:before="80" w:after="0"/>
      </w:pPr>
      <w:r>
        <w:t xml:space="preserve"/>
      </w:r>
    </w:p>
    <w:p>
      <w:pPr>
        <w:spacing w:before="60" w:after="60"/>
      </w:pPr>
      <w:r>
        <w:rPr>
          <w:rFonts w:ascii="Arial" w:cs="Arial" w:eastAsia="Arial" w:hAnsi="Arial"/>
          <w:color w:val="445566"/>
          <w:sz w:val="22"/>
          <w:szCs w:val="22"/>
        </w:rPr>
        <w:t xml:space="preserve">Specifically:</w:t>
      </w:r>
    </w:p>
    <w:p>
      <w:pPr>
        <w:spacing w:before="80" w:after="40"/>
        <w:ind w:left="180"/>
      </w:pPr>
      <w:r>
        <w:rPr>
          <w:rFonts w:ascii="Arial" w:cs="Arial" w:eastAsia="Arial" w:hAnsi="Arial"/>
          <w:sz w:val="22"/>
          <w:szCs w:val="22"/>
        </w:rPr>
        <w:t xml:space="preserve">✅  </w:t>
      </w:r>
      <w:r>
        <w:rPr>
          <w:rFonts w:ascii="Arial" w:cs="Arial" w:eastAsia="Arial" w:hAnsi="Arial"/>
          <w:b/>
          <w:bCs/>
          <w:color w:val="0A1628"/>
          <w:sz w:val="22"/>
          <w:szCs w:val="22"/>
        </w:rPr>
        <w:t xml:space="preserve">Change 1: </w:t>
      </w:r>
      <w:r>
        <w:rPr>
          <w:rFonts w:ascii="Arial" w:cs="Arial" w:eastAsia="Arial" w:hAnsi="Arial"/>
          <w:color w:val="445566"/>
          <w:sz w:val="22"/>
          <w:szCs w:val="22"/>
        </w:rPr>
        <w:t xml:space="preserve">Add RadiantLogiq + NVIDIA Inception program under-text to homepage hero</w:t>
      </w:r>
    </w:p>
    <w:p>
      <w:pPr>
        <w:spacing w:before="80" w:after="40"/>
        <w:ind w:left="180"/>
      </w:pPr>
      <w:r>
        <w:rPr>
          <w:rFonts w:ascii="Arial" w:cs="Arial" w:eastAsia="Arial" w:hAnsi="Arial"/>
          <w:sz w:val="22"/>
          <w:szCs w:val="22"/>
        </w:rPr>
        <w:t xml:space="preserve">✅  </w:t>
      </w:r>
      <w:r>
        <w:rPr>
          <w:rFonts w:ascii="Arial" w:cs="Arial" w:eastAsia="Arial" w:hAnsi="Arial"/>
          <w:b/>
          <w:bCs/>
          <w:color w:val="0A1628"/>
          <w:sz w:val="22"/>
          <w:szCs w:val="22"/>
        </w:rPr>
        <w:t xml:space="preserve">Change 2: </w:t>
      </w:r>
      <w:r>
        <w:rPr>
          <w:rFonts w:ascii="Arial" w:cs="Arial" w:eastAsia="Arial" w:hAnsi="Arial"/>
          <w:color w:val="445566"/>
          <w:sz w:val="22"/>
          <w:szCs w:val="22"/>
        </w:rPr>
        <w:t xml:space="preserve">Add platform trust line near CTA</w:t>
      </w:r>
    </w:p>
    <w:p>
      <w:pPr>
        <w:spacing w:before="80" w:after="40"/>
        <w:ind w:left="180"/>
      </w:pPr>
      <w:r>
        <w:rPr>
          <w:rFonts w:ascii="Arial" w:cs="Arial" w:eastAsia="Arial" w:hAnsi="Arial"/>
          <w:sz w:val="22"/>
          <w:szCs w:val="22"/>
        </w:rPr>
        <w:t xml:space="preserve">✅  </w:t>
      </w:r>
      <w:r>
        <w:rPr>
          <w:rFonts w:ascii="Arial" w:cs="Arial" w:eastAsia="Arial" w:hAnsi="Arial"/>
          <w:b/>
          <w:bCs/>
          <w:color w:val="0A1628"/>
          <w:sz w:val="22"/>
          <w:szCs w:val="22"/>
        </w:rPr>
        <w:t xml:space="preserve">Change 3: </w:t>
      </w:r>
      <w:r>
        <w:rPr>
          <w:rFonts w:ascii="Arial" w:cs="Arial" w:eastAsia="Arial" w:hAnsi="Arial"/>
          <w:color w:val="445566"/>
          <w:sz w:val="22"/>
          <w:szCs w:val="22"/>
        </w:rPr>
        <w:t xml:space="preserve">Add "Technology &amp; Platform" section with RadiantLogiq description</w:t>
      </w:r>
    </w:p>
    <w:p>
      <w:pPr>
        <w:spacing w:before="80" w:after="40"/>
        <w:ind w:left="180"/>
      </w:pPr>
      <w:r>
        <w:rPr>
          <w:rFonts w:ascii="Arial" w:cs="Arial" w:eastAsia="Arial" w:hAnsi="Arial"/>
          <w:sz w:val="22"/>
          <w:szCs w:val="22"/>
        </w:rPr>
        <w:t xml:space="preserve">✅  </w:t>
      </w:r>
      <w:r>
        <w:rPr>
          <w:rFonts w:ascii="Arial" w:cs="Arial" w:eastAsia="Arial" w:hAnsi="Arial"/>
          <w:b/>
          <w:bCs/>
          <w:color w:val="0A1628"/>
          <w:sz w:val="22"/>
          <w:szCs w:val="22"/>
        </w:rPr>
        <w:t xml:space="preserve">Change 4: </w:t>
      </w:r>
      <w:r>
        <w:rPr>
          <w:rFonts w:ascii="Arial" w:cs="Arial" w:eastAsia="Arial" w:hAnsi="Arial"/>
          <w:color w:val="445566"/>
          <w:sz w:val="22"/>
          <w:szCs w:val="22"/>
        </w:rPr>
        <w:t xml:space="preserve">Add DoseSpot trust sentence once in How It Works or platform section</w:t>
      </w:r>
    </w:p>
    <w:p>
      <w:pPr>
        <w:spacing w:before="80" w:after="40"/>
        <w:ind w:left="180"/>
      </w:pPr>
      <w:r>
        <w:rPr>
          <w:rFonts w:ascii="Arial" w:cs="Arial" w:eastAsia="Arial" w:hAnsi="Arial"/>
          <w:sz w:val="22"/>
          <w:szCs w:val="22"/>
        </w:rPr>
        <w:t xml:space="preserve">✅  </w:t>
      </w:r>
      <w:r>
        <w:rPr>
          <w:rFonts w:ascii="Arial" w:cs="Arial" w:eastAsia="Arial" w:hAnsi="Arial"/>
          <w:b/>
          <w:bCs/>
          <w:color w:val="0A1628"/>
          <w:sz w:val="22"/>
          <w:szCs w:val="22"/>
        </w:rPr>
        <w:t xml:space="preserve">Change 5: </w:t>
      </w:r>
      <w:r>
        <w:rPr>
          <w:rFonts w:ascii="Arial" w:cs="Arial" w:eastAsia="Arial" w:hAnsi="Arial"/>
          <w:color w:val="445566"/>
          <w:sz w:val="22"/>
          <w:szCs w:val="22"/>
        </w:rPr>
        <w:t xml:space="preserve">Add footer credibility strip with NVIDIA badge + required trademark attribution</w:t>
      </w:r>
    </w:p>
    <w:p>
      <w:pPr>
        <w:spacing w:before="80" w:after="40"/>
        <w:ind w:left="180"/>
      </w:pPr>
      <w:r>
        <w:rPr>
          <w:rFonts w:ascii="Arial" w:cs="Arial" w:eastAsia="Arial" w:hAnsi="Arial"/>
          <w:sz w:val="22"/>
          <w:szCs w:val="22"/>
        </w:rPr>
        <w:t xml:space="preserve">✅  </w:t>
      </w:r>
      <w:r>
        <w:rPr>
          <w:rFonts w:ascii="Arial" w:cs="Arial" w:eastAsia="Arial" w:hAnsi="Arial"/>
          <w:b/>
          <w:bCs/>
          <w:color w:val="0A1628"/>
          <w:sz w:val="22"/>
          <w:szCs w:val="22"/>
        </w:rPr>
        <w:t xml:space="preserve">Change 6: </w:t>
      </w:r>
      <w:r>
        <w:rPr>
          <w:rFonts w:ascii="Arial" w:cs="Arial" w:eastAsia="Arial" w:hAnsi="Arial"/>
          <w:color w:val="445566"/>
          <w:sz w:val="22"/>
          <w:szCs w:val="22"/>
        </w:rPr>
        <w:t xml:space="preserve">Add physician-founded trust language in About/platform section</w:t>
      </w:r>
    </w:p>
    <w:p>
      <w:pPr>
        <w:spacing w:before="80" w:after="40"/>
        <w:ind w:left="180"/>
      </w:pPr>
      <w:r>
        <w:rPr>
          <w:rFonts w:ascii="Arial" w:cs="Arial" w:eastAsia="Arial" w:hAnsi="Arial"/>
          <w:sz w:val="22"/>
          <w:szCs w:val="22"/>
        </w:rPr>
        <w:t xml:space="preserve">✅  </w:t>
      </w:r>
      <w:r>
        <w:rPr>
          <w:rFonts w:ascii="Arial" w:cs="Arial" w:eastAsia="Arial" w:hAnsi="Arial"/>
          <w:b/>
          <w:bCs/>
          <w:color w:val="0A1628"/>
          <w:sz w:val="22"/>
          <w:szCs w:val="22"/>
        </w:rPr>
        <w:t xml:space="preserve">Change 7: </w:t>
      </w:r>
      <w:r>
        <w:rPr>
          <w:rFonts w:ascii="Arial" w:cs="Arial" w:eastAsia="Arial" w:hAnsi="Arial"/>
          <w:color w:val="445566"/>
          <w:sz w:val="22"/>
          <w:szCs w:val="22"/>
        </w:rPr>
        <w:t xml:space="preserve">(Optional) Add provider-facing micro-copy if space allows</w:t>
      </w:r>
    </w:p>
    <w:p>
      <w:pPr>
        <w:spacing w:before="200" w:after="0"/>
      </w:pPr>
      <w:r>
        <w:t xml:space="preserve"/>
      </w:r>
    </w:p>
    <w:p>
      <w:pPr>
        <w:spacing w:before="200"/>
        <w:jc w:val="center"/>
      </w:pPr>
      <w:r>
        <w:rPr>
          <w:rFonts w:ascii="Arial" w:cs="Arial" w:eastAsia="Arial" w:hAnsi="Arial"/>
          <w:i/>
          <w:iCs/>
          <w:color w:val="AABBCC"/>
          <w:sz w:val="18"/>
          <w:szCs w:val="18"/>
        </w:rPr>
        <w:t xml:space="preserve">Document prepared by Radiant Logiq Corporation  ·  March 2026  ·  For internal/developer use only</w:t>
      </w:r>
    </w:p>
    <w:p>
      <w:pPr>
        <w:jc w:val="center"/>
      </w:pPr>
      <w:r>
        <w:rPr>
          <w:rFonts w:ascii="Arial" w:cs="Arial" w:eastAsia="Arial" w:hAnsi="Arial"/>
          <w:i/>
          <w:iCs/>
          <w:color w:val="AABBCC"/>
          <w:sz w:val="18"/>
          <w:szCs w:val="18"/>
        </w:rPr>
        <w:t xml:space="preserve">NVIDIA Inception Program references must comply with brand.nvidia.com guidelines at all times.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2026-03-21T06:49:18.653Z</dcterms:created>
  <dcterms:modified xsi:type="dcterms:W3CDTF">2026-03-21T06:49:18.654Z</dcterms:modified>
</cp:coreProperties>
</file>

<file path=docProps/custom.xml><?xml version="1.0" encoding="utf-8"?>
<Properties xmlns="http://schemas.openxmlformats.org/officeDocument/2006/custom-properties" xmlns:vt="http://schemas.openxmlformats.org/officeDocument/2006/docPropsVTypes"/>
</file>