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20" w:lineRule="exact" w:after="20"/>
      </w:pPr>
      <w:r>
        <w:rPr>
          <w:rFonts w:ascii="Calibri" w:hAnsi="Calibri"/>
          <w:b/>
          <w:color w:val="202B34"/>
          <w:sz w:val="46"/>
        </w:rPr>
        <w:t>OLAMILEKAN ALAGA</w:t>
      </w:r>
    </w:p>
    <w:p>
      <w:pPr>
        <w:spacing w:line="280" w:lineRule="exact" w:after="60"/>
      </w:pPr>
      <w:r>
        <w:rPr>
          <w:rFonts w:ascii="Calibri" w:hAnsi="Calibri"/>
          <w:b/>
          <w:color w:val="204D63"/>
          <w:sz w:val="23"/>
        </w:rPr>
        <w:t>PRODUCT &amp; ON-CHAIN DATA ANALYST</w:t>
      </w:r>
    </w:p>
    <w:p>
      <w:pPr>
        <w:spacing w:line="230" w:lineRule="exact" w:after="30"/>
      </w:pPr>
      <w:r>
        <w:rPr>
          <w:rFonts w:ascii="Calibri" w:hAnsi="Calibri"/>
          <w:b w:val="0"/>
          <w:color w:val="53616D"/>
          <w:sz w:val="19"/>
        </w:rPr>
        <w:t xml:space="preserve">Gillingham, Kent, UK  |  </w:t>
      </w:r>
      <w:hyperlink r:id="rId9" w:history="1">
        <w:r>
          <w:rPr>
            <w:rFonts w:ascii="Calibri" w:hAnsi="Calibri"/>
            <w:color w:val="245A76"/>
            <w:sz w:val="19"/>
          </w:rPr>
          <w:t>+44 7881 168645</w:t>
        </w:r>
      </w:hyperlink>
      <w:r>
        <w:rPr>
          <w:rFonts w:ascii="Calibri" w:hAnsi="Calibri"/>
          <w:b w:val="0"/>
          <w:color w:val="53616D"/>
          <w:sz w:val="19"/>
        </w:rPr>
        <w:t xml:space="preserve">  |  </w:t>
      </w:r>
      <w:hyperlink r:id="rId10" w:history="1">
        <w:r>
          <w:rPr>
            <w:rFonts w:ascii="Calibri" w:hAnsi="Calibri"/>
            <w:color w:val="245A76"/>
            <w:sz w:val="19"/>
          </w:rPr>
          <w:t>alagaolamilekan14@gmail.com</w:t>
        </w:r>
      </w:hyperlink>
    </w:p>
    <w:p>
      <w:pPr>
        <w:spacing w:line="230" w:lineRule="exact" w:after="140"/>
      </w:pPr>
      <w:hyperlink r:id="rId11" w:history="1">
        <w:r>
          <w:rPr>
            <w:rFonts w:ascii="Calibri" w:hAnsi="Calibri"/>
            <w:color w:val="245A76"/>
            <w:sz w:val="19"/>
            <w:u w:val="single"/>
          </w:rPr>
          <w:t>LinkedIn</w:t>
        </w:r>
      </w:hyperlink>
      <w:r>
        <w:rPr>
          <w:rFonts w:ascii="Calibri" w:hAnsi="Calibri"/>
          <w:b w:val="0"/>
          <w:color w:val="53616D"/>
          <w:sz w:val="19"/>
        </w:rPr>
        <w:t xml:space="preserve">   |   </w:t>
      </w:r>
      <w:hyperlink r:id="rId12" w:history="1">
        <w:r>
          <w:rPr>
            <w:rFonts w:ascii="Calibri" w:hAnsi="Calibri"/>
            <w:color w:val="245A76"/>
            <w:sz w:val="19"/>
            <w:u w:val="single"/>
          </w:rPr>
          <w:t>GitHub</w:t>
        </w:r>
      </w:hyperlink>
      <w:r>
        <w:rPr>
          <w:rFonts w:ascii="Calibri" w:hAnsi="Calibri"/>
          <w:b w:val="0"/>
          <w:color w:val="53616D"/>
          <w:sz w:val="19"/>
        </w:rPr>
        <w:t xml:space="preserve">   |   </w:t>
      </w:r>
      <w:hyperlink r:id="rId13" w:history="1">
        <w:r>
          <w:rPr>
            <w:rFonts w:ascii="Calibri" w:hAnsi="Calibri"/>
            <w:color w:val="245A76"/>
            <w:sz w:val="19"/>
            <w:u w:val="single"/>
          </w:rPr>
          <w:t>Dune</w:t>
        </w:r>
      </w:hyperlink>
      <w:r>
        <w:rPr>
          <w:rFonts w:ascii="Calibri" w:hAnsi="Calibri"/>
          <w:b w:val="0"/>
          <w:color w:val="53616D"/>
          <w:sz w:val="19"/>
        </w:rPr>
        <w:t xml:space="preserve">   |   </w:t>
      </w:r>
      <w:hyperlink r:id="rId14" w:history="1">
        <w:r>
          <w:rPr>
            <w:rFonts w:ascii="Calibri" w:hAnsi="Calibri"/>
            <w:color w:val="245A76"/>
            <w:sz w:val="19"/>
            <w:u w:val="single"/>
          </w:rPr>
          <w:t>Aladdin</w:t>
        </w:r>
      </w:hyperlink>
      <w:r>
        <w:rPr>
          <w:rFonts w:ascii="Calibri" w:hAnsi="Calibri"/>
          <w:b w:val="0"/>
          <w:color w:val="53616D"/>
          <w:sz w:val="19"/>
        </w:rPr>
        <w:t xml:space="preserve">   |   </w:t>
      </w:r>
      <w:hyperlink r:id="rId15" w:history="1">
        <w:r>
          <w:rPr>
            <w:rFonts w:ascii="Calibri" w:hAnsi="Calibri"/>
            <w:color w:val="245A76"/>
            <w:sz w:val="19"/>
            <w:u w:val="single"/>
          </w:rPr>
          <w:t>X</w:t>
        </w:r>
      </w:hyperlink>
    </w:p>
    <w:p>
      <w:pPr>
        <w:spacing w:after="20"/>
      </w:pPr>
      <w:r>
        <w:rPr>
          <w:rFonts w:ascii="Calibri" w:hAnsi="Calibri"/>
          <w:b/>
        </w:rPr>
        <w:t>Behaviour-led data analyst and product builder</w:t>
      </w:r>
      <w:r>
        <w:rPr>
          <w:rFonts w:ascii="Calibri" w:hAnsi="Calibri"/>
          <w:b w:val="0"/>
        </w:rPr>
        <w:t xml:space="preserve"> who investigates what sits behind a metric: who participated, what changed, and what it means for a business. Combines SQL/Python research, competitor intelligence and hands-on product development to turn patterns in user and wallet activity into product insights and growth opportunities. Work spans deBridge, 66 Superteam UK startups, a Nansen API campaign and Aladdin.</w:t>
      </w:r>
    </w:p>
    <w:p>
      <w:pPr>
        <w:pStyle w:val="Heading1"/>
        <w:pBdr>
          <w:bottom w:val="single" w:sz="4" w:space="3" w:color="C4D1D8"/>
        </w:pBdr>
      </w:pPr>
      <w:r>
        <w:t>EXPERIENCE &amp; PRODUCT WORK</w:t>
      </w:r>
    </w:p>
    <w:p>
      <w:pPr>
        <w:keepNext/>
        <w:tabs>
          <w:tab w:pos="10205" w:val="right"/>
        </w:tabs>
        <w:spacing w:before="100" w:after="50" w:line="260" w:lineRule="exact"/>
      </w:pPr>
      <w:hyperlink r:id="rId16" w:history="1">
        <w:r>
          <w:rPr>
            <w:rFonts w:ascii="Calibri" w:hAnsi="Calibri"/>
            <w:color w:val="245A76"/>
            <w:sz w:val="22"/>
            <w:b/>
          </w:rPr>
          <w:t>Superteam UK</w:t>
        </w:r>
      </w:hyperlink>
      <w:r>
        <w:rPr>
          <w:rFonts w:ascii="Calibri" w:hAnsi="Calibri"/>
          <w:b/>
          <w:color w:val="202B34"/>
          <w:sz w:val="21"/>
        </w:rPr>
        <w:t xml:space="preserve">  |  On-Chain Startup Research Analyst</w:t>
      </w:r>
      <w:r>
        <w:rPr>
          <w:rFonts w:ascii="Calibri" w:hAnsi="Calibri"/>
          <w:b w:val="0"/>
          <w:color w:val="53616D"/>
          <w:sz w:val="19"/>
        </w:rPr>
        <w:tab/>
        <w:t>2026–Present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 xml:space="preserve">Conduct research across </w:t>
      </w:r>
      <w:r>
        <w:rPr>
          <w:rFonts w:ascii="Calibri" w:hAnsi="Calibri"/>
          <w:b/>
        </w:rPr>
        <w:t>66 startups</w:t>
      </w:r>
      <w:r>
        <w:rPr>
          <w:rFonts w:ascii="Calibri" w:hAnsi="Calibri"/>
          <w:b w:val="0"/>
        </w:rPr>
        <w:t>, translating product and funding narratives into measurable questions about users, transaction volume, revenue and observable on-chain delivery.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Built an ecosystem-intelligence archive and verification workflow that separates mainnet activity, testnet usage and off-chain products, helping distinguish adoption evidence from project claims.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Connect startup products to available program, wallet and transaction evidence; document source quality and coverage so ecosystem comparisons reflect what can actually be verified.</w:t>
      </w:r>
    </w:p>
    <w:p>
      <w:pPr>
        <w:keepNext/>
        <w:tabs>
          <w:tab w:pos="10205" w:val="right"/>
        </w:tabs>
        <w:spacing w:before="100" w:after="50" w:line="260" w:lineRule="exact"/>
      </w:pPr>
      <w:r>
        <w:rPr>
          <w:rFonts w:ascii="Calibri" w:hAnsi="Calibri"/>
          <w:b/>
          <w:color w:val="204D63"/>
          <w:sz w:val="22"/>
        </w:rPr>
        <w:t>deBridge</w:t>
      </w:r>
      <w:r>
        <w:rPr>
          <w:rFonts w:ascii="Calibri" w:hAnsi="Calibri"/>
          <w:b/>
          <w:color w:val="202B34"/>
          <w:sz w:val="21"/>
        </w:rPr>
        <w:t xml:space="preserve">  |  Blockchain Data Analyst Intern</w:t>
      </w:r>
      <w:r>
        <w:rPr>
          <w:rFonts w:ascii="Calibri" w:hAnsi="Calibri"/>
          <w:b w:val="0"/>
          <w:color w:val="53616D"/>
          <w:sz w:val="19"/>
        </w:rPr>
        <w:tab/>
        <w:t>Nov 2025–Feb 2026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Conducted horizontal competitor research across bridge protocols, analysing users, volumes, fees, market share and cross-chain behaviour to explain changes in competitive performance.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Investigated the activity behind aggregate metrics, connecting protocol-level movements to underlying transaction and user behaviour rather than treating every increase as organic growth.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Built repeatable Python and Dune SQL workflows, dashboards and comparative research to support protocol intelligence and strategic investigation.</w:t>
      </w:r>
    </w:p>
    <w:p>
      <w:pPr>
        <w:keepNext/>
        <w:tabs>
          <w:tab w:pos="10205" w:val="right"/>
        </w:tabs>
        <w:spacing w:before="100" w:after="50" w:line="260" w:lineRule="exact"/>
      </w:pPr>
      <w:r>
        <w:rPr>
          <w:rFonts w:ascii="Calibri" w:hAnsi="Calibri"/>
          <w:b/>
          <w:color w:val="204D63"/>
          <w:sz w:val="22"/>
        </w:rPr>
        <w:t>Nansen</w:t>
      </w:r>
      <w:r>
        <w:rPr>
          <w:rFonts w:ascii="Calibri" w:hAnsi="Calibri"/>
          <w:b/>
          <w:color w:val="202B34"/>
          <w:sz w:val="21"/>
        </w:rPr>
        <w:t xml:space="preserve">  |  On-Chain Product Builder, API Campaign</w:t>
      </w:r>
      <w:r>
        <w:rPr>
          <w:rFonts w:ascii="Calibri" w:hAnsi="Calibri"/>
          <w:b w:val="0"/>
          <w:color w:val="53616D"/>
          <w:sz w:val="19"/>
        </w:rPr>
        <w:tab/>
        <w:t>2026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Built a product demonstration for Nansen’s forthcoming API campaign, showing participants how token and wallet data can become a useful research application.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Built token-discovery and wallet-journey views around repeat winners, cohort overlap and capital rotation, demonstrating context beyond a simple PnL leaderboard.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Mapped and tested Nansen APIs for token discovery, trading activity and realised PnL, translating data capabilities into product features and concrete developer use cases.</w:t>
      </w:r>
    </w:p>
    <w:p>
      <w:pPr>
        <w:keepNext/>
        <w:tabs>
          <w:tab w:pos="10205" w:val="right"/>
        </w:tabs>
        <w:spacing w:before="100" w:after="50" w:line="260" w:lineRule="exact"/>
      </w:pPr>
      <w:hyperlink r:id="rId14" w:history="1">
        <w:r>
          <w:rPr>
            <w:rFonts w:ascii="Calibri" w:hAnsi="Calibri"/>
            <w:color w:val="245A76"/>
            <w:sz w:val="22"/>
            <w:b/>
          </w:rPr>
          <w:t>Aladdin</w:t>
        </w:r>
      </w:hyperlink>
      <w:r>
        <w:rPr>
          <w:rFonts w:ascii="Calibri" w:hAnsi="Calibri"/>
          <w:b/>
          <w:color w:val="202B34"/>
          <w:sz w:val="21"/>
        </w:rPr>
        <w:t xml:space="preserve">  |  Founder &amp; Product Builder</w:t>
      </w:r>
      <w:r>
        <w:rPr>
          <w:rFonts w:ascii="Calibri" w:hAnsi="Calibri"/>
          <w:b w:val="0"/>
          <w:color w:val="53616D"/>
          <w:sz w:val="19"/>
        </w:rPr>
        <w:tab/>
        <w:t>2025–Present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Independently built and deployed a behavioural intelligence terminal for investigating tokens, wallets and trader activity, addressing the gap between seeing a signal and understanding it.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Converted behavioural research into token/wallet workspaces and Ask Aladdin, an interface designed for natural-language investigation using blockchain data and LLM-assisted answers.</w:t>
      </w:r>
    </w:p>
    <w:p>
      <w:pPr>
        <w:keepLines/>
        <w:spacing w:after="45"/>
        <w:ind w:left="160" w:hanging="160"/>
        <w:numPr>
          <w:ilvl w:val="0"/>
          <w:numId w:val="10"/>
        </w:numPr>
      </w:pPr>
      <w:r>
        <w:rPr>
          <w:rFonts w:ascii="Calibri" w:hAnsi="Calibri"/>
          <w:b w:val="0"/>
        </w:rPr>
        <w:t>Created linked investigation flows, structured evidence tables, watchlists, saved sessions and exports, turning analysis into a usable product rather than a standalone report.</w:t>
      </w:r>
    </w:p>
    <w:p>
      <w:pPr>
        <w:pStyle w:val="Heading1"/>
        <w:pBdr>
          <w:bottom w:val="single" w:sz="4" w:space="3" w:color="C4D1D8"/>
        </w:pBdr>
      </w:pPr>
      <w:r>
        <w:t>TECHNICAL &amp; ANALYTICAL SKILLS</w:t>
      </w:r>
    </w:p>
    <w:p>
      <w:r>
        <w:rPr>
          <w:rFonts w:ascii="Calibri" w:hAnsi="Calibri"/>
          <w:b/>
        </w:rPr>
        <w:t xml:space="preserve">Data: </w:t>
      </w:r>
      <w:r>
        <w:rPr>
          <w:rFonts w:ascii="Calibri" w:hAnsi="Calibri"/>
          <w:b w:val="0"/>
        </w:rPr>
        <w:t>SQL, Python, Pandas, NumPy, SQLite, Dune Analytics, Excel, Power BI.</w:t>
      </w:r>
    </w:p>
    <w:p>
      <w:r>
        <w:rPr>
          <w:rFonts w:ascii="Calibri" w:hAnsi="Calibri"/>
          <w:b/>
        </w:rPr>
        <w:t xml:space="preserve">Methods: </w:t>
      </w:r>
      <w:r>
        <w:rPr>
          <w:rFonts w:ascii="Calibri" w:hAnsi="Calibri"/>
          <w:b w:val="0"/>
        </w:rPr>
        <w:t>Cohort analysis, behavioural segmentation, competitor benchmarking, feature engineering, PnL analysis, data validation; scikit-learn, NLP and recommendation systems.</w:t>
      </w:r>
    </w:p>
    <w:p>
      <w:r>
        <w:rPr>
          <w:rFonts w:ascii="Calibri" w:hAnsi="Calibri"/>
          <w:b/>
        </w:rPr>
        <w:t xml:space="preserve">Product delivery: </w:t>
      </w:r>
      <w:r>
        <w:rPr>
          <w:rFonts w:ascii="Calibri" w:hAnsi="Calibri"/>
          <w:b w:val="0"/>
        </w:rPr>
        <w:t>REST APIs, Nansen data, Next.js/React, TypeScript, Streamlit, Git/GitHub, Vercel, LLM-assisted development.</w:t>
      </w:r>
    </w:p>
    <w:p>
      <w:pPr>
        <w:pStyle w:val="Heading1"/>
        <w:pBdr>
          <w:bottom w:val="single" w:sz="4" w:space="3" w:color="C4D1D8"/>
        </w:pBdr>
      </w:pPr>
      <w:r>
        <w:t>EDUCATION</w:t>
      </w:r>
    </w:p>
    <w:p>
      <w:pPr>
        <w:tabs>
          <w:tab w:pos="10205" w:val="right"/>
        </w:tabs>
      </w:pPr>
      <w:r>
        <w:rPr>
          <w:rFonts w:ascii="Calibri" w:hAnsi="Calibri"/>
          <w:b/>
        </w:rPr>
        <w:t>MSc Data Science and its Applications (Merit)</w:t>
      </w:r>
      <w:r>
        <w:rPr>
          <w:rFonts w:ascii="Calibri" w:hAnsi="Calibri"/>
          <w:b w:val="0"/>
          <w:color w:val="53616D"/>
          <w:sz w:val="19"/>
        </w:rPr>
        <w:tab/>
        <w:t>2024–2025</w:t>
      </w:r>
    </w:p>
    <w:p>
      <w:pPr>
        <w:spacing w:after="100"/>
      </w:pPr>
      <w:r>
        <w:t>University of Greenwich, UK</w:t>
      </w:r>
    </w:p>
    <w:p>
      <w:pPr>
        <w:spacing w:line="220" w:lineRule="exact" w:before="20"/>
      </w:pPr>
      <w:r>
        <w:rPr>
          <w:rFonts w:ascii="Calibri" w:hAnsi="Calibri"/>
          <w:b/>
          <w:color w:val="53616D"/>
          <w:sz w:val="19"/>
        </w:rPr>
        <w:t xml:space="preserve">Supporting research: </w:t>
      </w:r>
      <w:r>
        <w:rPr>
          <w:rFonts w:ascii="Calibri" w:hAnsi="Calibri"/>
          <w:b w:val="0"/>
          <w:color w:val="53616D"/>
          <w:sz w:val="19"/>
        </w:rPr>
        <w:t>17.2M canonical trades across 2,500 tokens and 92,480 wallets; wallet classification, migration-pattern validation and protocol-event investigation underpinning Aladdin.</w:t>
      </w:r>
    </w:p>
    <w:sectPr w:rsidR="00FC693F" w:rsidRPr="0006063C" w:rsidSect="00034616">
      <w:pgSz w:w="11906" w:h="16838"/>
      <w:pgMar w:top="709" w:right="850" w:bottom="709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47" w:lineRule="exact"/>
    </w:pPr>
    <w:rPr>
      <w:rFonts w:ascii="Calibri" w:hAnsi="Calibri"/>
      <w:color w:val="202B34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5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204D63"/>
      <w:sz w:val="21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5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204D63"/>
      <w:sz w:val="21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247" w:lineRule="exact"/>
    </w:pPr>
    <w:rPr>
      <w:rFonts w:ascii="Calibri" w:hAnsi="Calibri"/>
      <w:color w:val="202B3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0" w:line="247" w:lineRule="exact"/>
      <w:contextualSpacing/>
    </w:pPr>
    <w:rPr>
      <w:rFonts w:ascii="Calibri" w:hAnsi="Calibri"/>
      <w:color w:val="202B3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447881168645" TargetMode="External"/><Relationship Id="rId10" Type="http://schemas.openxmlformats.org/officeDocument/2006/relationships/hyperlink" Target="mailto:alagaolamilekan14@gmail.com" TargetMode="External"/><Relationship Id="rId11" Type="http://schemas.openxmlformats.org/officeDocument/2006/relationships/hyperlink" Target="https://www.linkedin.com/in/olamilekanalaga" TargetMode="External"/><Relationship Id="rId12" Type="http://schemas.openxmlformats.org/officeDocument/2006/relationships/hyperlink" Target="https://github.com/olamilekanalaga" TargetMode="External"/><Relationship Id="rId13" Type="http://schemas.openxmlformats.org/officeDocument/2006/relationships/hyperlink" Target="https://dune.com/big_ola01" TargetMode="External"/><Relationship Id="rId14" Type="http://schemas.openxmlformats.org/officeDocument/2006/relationships/hyperlink" Target="https://aladdin-ui-alpha.vercel.app/ask-aladdin" TargetMode="External"/><Relationship Id="rId15" Type="http://schemas.openxmlformats.org/officeDocument/2006/relationships/hyperlink" Target="https://x.com/Ola_Crrypt" TargetMode="External"/><Relationship Id="rId16" Type="http://schemas.openxmlformats.org/officeDocument/2006/relationships/hyperlink" Target="https://superteamuk-startups-analytic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Olamilekan Alaga | Product &amp; On-Chain Data Analyst</dc:title>
  <dc:subject>Product analytics, behavioural research, competitor intelligence and data products</dc:subject>
  <dc:creator>Olamilekan Alaga</dc:creator>
  <cp:keywords>Product Data Analyst, On-Chain Analyst, SQL, Python, Behavioural Analytics, deBridge, Superteam UK, Nansen, Aladdin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