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Calibri" w:hAnsi="Calibri"/>
          <w:b/>
          <w:color w:val="1F4E78"/>
          <w:sz w:val="22"/>
        </w:rPr>
        <w:t>ARCHITECTURE DECISION RECORD</w:t>
      </w:r>
    </w:p>
    <w:p>
      <w:pPr>
        <w:spacing w:after="80" w:line="259" w:lineRule="auto"/>
      </w:pPr>
      <w:r>
        <w:rPr>
          <w:rFonts w:ascii="Calibri" w:hAnsi="Calibri"/>
          <w:b/>
          <w:color w:val="17365D"/>
          <w:sz w:val="56"/>
        </w:rPr>
        <w:t>ADR-004</w:t>
      </w:r>
    </w:p>
    <w:p>
      <w:pPr>
        <w:spacing w:after="60" w:line="259" w:lineRule="auto"/>
      </w:pPr>
      <w:r>
        <w:rPr>
          <w:rFonts w:ascii="Calibri" w:hAnsi="Calibri"/>
          <w:b/>
          <w:color w:val="1F4E78"/>
          <w:sz w:val="46"/>
        </w:rPr>
        <w:t>Universal Template Platform</w:t>
      </w:r>
    </w:p>
    <w:p>
      <w:pPr>
        <w:spacing w:after="80" w:line="259" w:lineRule="auto"/>
      </w:pPr>
      <w:r>
        <w:rPr>
          <w:rFonts w:ascii="Calibri" w:hAnsi="Calibri"/>
          <w:b/>
          <w:color w:val="17365D"/>
          <w:sz w:val="28"/>
        </w:rPr>
        <w:t>Current delivery: Sales, CRM and Accounting</w:t>
      </w:r>
    </w:p>
    <w:p>
      <w:pPr>
        <w:spacing w:after="360" w:line="259" w:lineRule="auto"/>
      </w:pPr>
      <w:r>
        <w:rPr>
          <w:rFonts w:ascii="Calibri" w:hAnsi="Calibri"/>
          <w:b w:val="0"/>
          <w:color w:val="606060"/>
          <w:sz w:val="25"/>
        </w:rPr>
        <w:t>Extension-ready for Field Service, Contract, Project and Service Industry domains</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244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Control</w:t>
            </w:r>
          </w:p>
        </w:tc>
        <w:tc>
          <w:tcPr>
            <w:tcW w:type="dxa" w:w="676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Value</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Status</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Approved architecture baseline — implementation acceptance remains evidence-gated</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Parent architecture</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ADR-000 Shared Platform Services Architecture</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Mandatory foundation</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ADR-001 Platform Foundation</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Contact dependency</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ADR-003 Contact Master — canonical identifier per Product Owner instruction</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Domain-use pack</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UDLTB-IMP-001 Comprehensive Domain Use Cases and Capability Matrix</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Current scope</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Sales, CRM and Accounting document/form/survey templates</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Future scope</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Field Service, Contract, Project and Service Industry extension packs</w:t>
            </w:r>
          </w:p>
        </w:tc>
      </w:tr>
      <w:tr>
        <w:tc>
          <w:tcPr>
            <w:tcW w:type="dxa" w:w="2448"/>
            <w:vAlign w:val="center"/>
            <w:tcMar>
              <w:top w:w="75" w:type="dxa"/>
              <w:start w:w="110" w:type="dxa"/>
              <w:bottom w:w="75" w:type="dxa"/>
              <w:end w:w="110" w:type="dxa"/>
            </w:tcMar>
          </w:tcPr>
          <w:p>
            <w:pPr>
              <w:spacing w:after="0" w:line="240" w:lineRule="auto"/>
            </w:pPr>
            <w:r/>
            <w:r>
              <w:rPr>
                <w:rFonts w:ascii="Calibri" w:hAnsi="Calibri"/>
                <w:b w:val="0"/>
                <w:color w:val="000000"/>
                <w:sz w:val="17"/>
              </w:rPr>
              <w:t>Decision date</w:t>
            </w:r>
          </w:p>
        </w:tc>
        <w:tc>
          <w:tcPr>
            <w:tcW w:type="dxa" w:w="6768"/>
            <w:vAlign w:val="center"/>
            <w:tcMar>
              <w:top w:w="75" w:type="dxa"/>
              <w:start w:w="110" w:type="dxa"/>
              <w:bottom w:w="75" w:type="dxa"/>
              <w:end w:w="110" w:type="dxa"/>
            </w:tcMar>
          </w:tcPr>
          <w:p>
            <w:pPr>
              <w:spacing w:after="0" w:line="240" w:lineRule="auto"/>
            </w:pPr>
            <w:r/>
            <w:r>
              <w:rPr>
                <w:rFonts w:ascii="Calibri" w:hAnsi="Calibri"/>
                <w:b w:val="0"/>
                <w:color w:val="000000"/>
                <w:sz w:val="17"/>
              </w:rPr>
              <w:t>12 July 2026</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FCE8E6"/>
            <w:tcMar>
              <w:top w:w="75" w:type="dxa"/>
              <w:start w:w="110" w:type="dxa"/>
              <w:bottom w:w="75" w:type="dxa"/>
              <w:end w:w="110" w:type="dxa"/>
            </w:tcMar>
          </w:tcPr>
          <w:p>
            <w:pPr>
              <w:spacing w:after="0"/>
            </w:pPr>
            <w:r/>
            <w:r>
              <w:rPr>
                <w:b/>
                <w:color w:val="17365D"/>
                <w:sz w:val="20"/>
              </w:rPr>
              <w:t xml:space="preserve">Canonical numbering notice: </w:t>
            </w:r>
            <w:r>
              <w:rPr>
                <w:sz w:val="20"/>
              </w:rPr>
              <w:t>The uploaded Contact Master source pack labels itself ADR-002. Under the Product Owner’s current instruction, Contact Master is ADR-003. Its useful architecture content may be referenced, but its legacy ADR-002 label is non-canonical and must not be propagated into new code, migrations, reports or evidence.</w:t>
            </w:r>
          </w:p>
        </w:tc>
      </w:tr>
    </w:tbl>
    <w:p>
      <w:pPr>
        <w:spacing w:after="20"/>
      </w:pPr>
    </w:p>
    <w:p>
      <w:pPr>
        <w:pStyle w:val="Heading1"/>
      </w:pPr>
      <w:r>
        <w:t>1. Final review of predecessor packs</w:t>
      </w:r>
    </w:p>
    <w:p>
      <w:pPr>
        <w:pStyle w:val="Heading2"/>
      </w:pPr>
      <w:r>
        <w:t>1.1 ADR-001 Platform Foundation</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3293"/>
        <w:gridCol w:w="3293"/>
        <w:gridCol w:w="3293"/>
      </w:tblGrid>
      <w:tr>
        <w:trPr>
          <w:tblHeader w:val="true"/>
        </w:trPr>
        <w:tc>
          <w:tcPr>
            <w:tcW w:type="dxa" w:w="360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Finding</w:t>
            </w:r>
          </w:p>
        </w:tc>
        <w:tc>
          <w:tcPr>
            <w:tcW w:type="dxa" w:w="144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Verdict</w:t>
            </w:r>
          </w:p>
        </w:tc>
        <w:tc>
          <w:tcPr>
            <w:tcW w:type="dxa" w:w="417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ADR-004 treatment</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Tenant/entity, RBAC, module contract, entitlement and audit are correctly platform-owned</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Aligned</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ADR-004 consumes these controls; it does not recreate them</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Mandatory evaluation order is explicitly defined</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Aligned</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ADR-004 adds template checks only after ADR-001 base checks</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Runtime Mode means Coupled, Decoupled or External Integration</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Binding terminology</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ADR-004 uses Template Interaction Type for Document/Form/Survey</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ADR-001 is marked Draft for Approval</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Governance risk</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Implementation claims require owner approval and evidence; draft status is not production acceptance</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Branch/outlet/site may be represented as entity types while separate scope fields also exist</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Needs canonicalisation</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Template assignment must use Platform Context IDs; it must not invent a second organisation tree</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Audit is shown as the final request check</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Needs clarification</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Required audit is a transactional postcondition; audit failure on sensitive writes must fail/rollback or enter controlled exception handling</w:t>
            </w:r>
          </w:p>
        </w:tc>
      </w:tr>
    </w:tbl>
    <w:p>
      <w:pPr>
        <w:spacing w:after="20"/>
      </w:pPr>
    </w:p>
    <w:p>
      <w:pPr>
        <w:pStyle w:val="Heading2"/>
      </w:pPr>
      <w:r>
        <w:t>1.2 Legacy-numbered Contact Master source pack</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3293"/>
        <w:gridCol w:w="3293"/>
        <w:gridCol w:w="3293"/>
      </w:tblGrid>
      <w:tr>
        <w:trPr>
          <w:tblHeader w:val="true"/>
        </w:trPr>
        <w:tc>
          <w:tcPr>
            <w:tcW w:type="dxa" w:w="360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Finding</w:t>
            </w:r>
          </w:p>
        </w:tc>
        <w:tc>
          <w:tcPr>
            <w:tcW w:type="dxa" w:w="144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Verdict</w:t>
            </w:r>
          </w:p>
        </w:tc>
        <w:tc>
          <w:tcPr>
            <w:tcW w:type="dxa" w:w="417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ADR-004 treatment</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Pack identifies itself as ADR-002 while owner states Contact Master is ADR-003</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Direct conflict</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ADR-003 is canonical; legacy number is prohibited in new implementation artifacts</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Phase 1/2 are planning-complete, not implementation-complete</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Binding status rule</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ADR-004 may consume only evidenced Contact Master capabilities</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Customer/vendor/CRM profiles link to core_contact_uuid</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Aligned</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All template data contracts use Contact Master identity; no duplicate customer master</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Posted documents preserve immutable snapshots</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Aligned</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ADR-004 requires immutable rendered artifact and source snapshot/version</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Hierarchy, related records, duplicate control and migration remain outstanding</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Dependency risk</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Do not claim group hierarchy or full Contact 360 merge fields until evidenced</w:t>
            </w:r>
          </w:p>
        </w:tc>
      </w:tr>
      <w:tr>
        <w:tc>
          <w:tcPr>
            <w:tcW w:type="dxa" w:w="3600"/>
            <w:vAlign w:val="center"/>
            <w:tcMar>
              <w:top w:w="75" w:type="dxa"/>
              <w:start w:w="110" w:type="dxa"/>
              <w:bottom w:w="75" w:type="dxa"/>
              <w:end w:w="110" w:type="dxa"/>
            </w:tcMar>
          </w:tcPr>
          <w:p>
            <w:pPr>
              <w:spacing w:after="0" w:line="240" w:lineRule="auto"/>
            </w:pPr>
            <w:r/>
            <w:r>
              <w:rPr>
                <w:rFonts w:ascii="Calibri" w:hAnsi="Calibri"/>
                <w:b w:val="0"/>
                <w:color w:val="000000"/>
                <w:sz w:val="16"/>
              </w:rPr>
              <w:t>Contact Phase 4B proposes a document registry</w:t>
            </w:r>
          </w:p>
        </w:tc>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6"/>
              </w:rPr>
              <w:t>Boundary overlap</w:t>
            </w:r>
          </w:p>
        </w:tc>
        <w:tc>
          <w:tcPr>
            <w:tcW w:type="dxa" w:w="4176"/>
            <w:vAlign w:val="center"/>
            <w:tcMar>
              <w:top w:w="75" w:type="dxa"/>
              <w:start w:w="110" w:type="dxa"/>
              <w:bottom w:w="75" w:type="dxa"/>
              <w:end w:w="110" w:type="dxa"/>
            </w:tcMar>
          </w:tcPr>
          <w:p>
            <w:pPr>
              <w:spacing w:after="0" w:line="240" w:lineRule="auto"/>
            </w:pPr>
            <w:r/>
            <w:r>
              <w:rPr>
                <w:rFonts w:ascii="Calibri" w:hAnsi="Calibri"/>
                <w:b w:val="0"/>
                <w:color w:val="000000"/>
                <w:sz w:val="16"/>
              </w:rPr>
              <w:t>It must link contacts to ADR-004 artifacts and ADR-000 File Service; it must not create a template/PDF engine</w:t>
            </w:r>
          </w:p>
        </w:tc>
      </w:tr>
    </w:tbl>
    <w:p>
      <w:pPr>
        <w:spacing w:after="20"/>
      </w:pPr>
    </w:p>
    <w:p>
      <w:pPr>
        <w:pStyle w:val="Heading2"/>
      </w:pPr>
      <w:r>
        <w:t>1.3 P0 Sprint Assignment Tracker</w:t>
      </w:r>
    </w:p>
    <w:p>
      <w:pPr>
        <w:pStyle w:val="ListBullet"/>
        <w:spacing w:after="40" w:line="252" w:lineRule="auto"/>
      </w:pPr>
      <w:r>
        <w:rPr>
          <w:sz w:val="20"/>
        </w:rPr>
        <w:t>P0-D combines Numbering, Files, Templates, PDF, Email/Notice and Error Standard under one assignment. These remain separate shared-service boundaries and cannot be accepted as one generic module.</w:t>
      </w:r>
    </w:p>
    <w:p>
      <w:pPr>
        <w:pStyle w:val="ListBullet"/>
        <w:spacing w:after="40" w:line="252" w:lineRule="auto"/>
      </w:pPr>
      <w:r>
        <w:rPr>
          <w:sz w:val="20"/>
        </w:rPr>
        <w:t>P0-F Workflow/Approval is unassigned although template review, publication, form routing and sensitive changes depend on it.</w:t>
      </w:r>
    </w:p>
    <w:p>
      <w:pPr>
        <w:pStyle w:val="ListBullet"/>
        <w:spacing w:after="40" w:line="252" w:lineRule="auto"/>
      </w:pPr>
      <w:r>
        <w:rPr>
          <w:sz w:val="20"/>
        </w:rPr>
        <w:t>Evidence, completion percentage and completion date fields are blank; the tracker is planning data, not proof of implementation.</w:t>
      </w:r>
    </w:p>
    <w:p>
      <w:pPr>
        <w:pStyle w:val="ListBullet"/>
        <w:spacing w:after="40" w:line="252" w:lineRule="auto"/>
      </w:pPr>
      <w:r>
        <w:rPr>
          <w:sz w:val="20"/>
        </w:rPr>
        <w:t>P0-D must depend on P0-A, P0-B and evidenced Contact Master scope. Template work must not bypass tenant, entity, entitlement, permission or identity controls.</w:t>
      </w:r>
    </w:p>
    <w:p>
      <w:pPr>
        <w:pStyle w:val="ListBullet"/>
        <w:spacing w:after="40" w:line="252" w:lineRule="auto"/>
      </w:pPr>
      <w:r>
        <w:rPr>
          <w:sz w:val="20"/>
        </w:rPr>
        <w:t>Tracker error codes and ADR-001 standard errors must be consolidated into one canonical error catalogue before API acceptance.</w:t>
      </w:r>
    </w:p>
    <w:tbl>
      <w:tblPr>
        <w:tblW w:type="auto" w:w="0"/>
        <w:tblLayout w:type="fixed"/>
        <w:tblLook w:firstColumn="1" w:firstRow="1" w:lastColumn="0" w:lastRow="0" w:noHBand="0" w:noVBand="1" w:val="04A0"/>
      </w:tblPr>
      <w:tblGrid>
        <w:gridCol w:w="9878"/>
      </w:tblGrid>
      <w:tr>
        <w:tc>
          <w:tcPr>
            <w:tcW w:type="dxa" w:w="9878"/>
            <w:shd w:fill="FFF2CC"/>
            <w:tcMar>
              <w:top w:w="75" w:type="dxa"/>
              <w:start w:w="110" w:type="dxa"/>
              <w:bottom w:w="75" w:type="dxa"/>
              <w:end w:w="110" w:type="dxa"/>
            </w:tcMar>
          </w:tcPr>
          <w:p>
            <w:pPr>
              <w:spacing w:after="0"/>
            </w:pPr>
            <w:r/>
            <w:r>
              <w:rPr>
                <w:b/>
                <w:color w:val="17365D"/>
                <w:sz w:val="20"/>
              </w:rPr>
              <w:t xml:space="preserve">Predecessor verdict: </w:t>
            </w:r>
            <w:r>
              <w:rPr>
                <w:sz w:val="20"/>
              </w:rPr>
              <w:t>ADR-001 is directionally sound and mandatory. The Contact Master content is usable but its numbering is inconsistent and its planning status must not be mistaken for implementation. The P0 tracker is not an acceptance artifact.</w:t>
            </w:r>
          </w:p>
        </w:tc>
      </w:tr>
    </w:tbl>
    <w:p>
      <w:pPr>
        <w:spacing w:after="20"/>
      </w:pPr>
    </w:p>
    <w:p>
      <w:pPr>
        <w:pStyle w:val="Heading1"/>
      </w:pPr>
      <w:r>
        <w:t>2. Decision</w:t>
      </w:r>
    </w:p>
    <w:p>
      <w:pPr>
        <w:spacing w:after="100" w:line="259" w:lineRule="auto"/>
      </w:pPr>
      <w:r>
        <w:rPr>
          <w:rFonts w:ascii="Calibri" w:hAnsi="Calibri"/>
          <w:b w:val="0"/>
          <w:color w:val="000000"/>
          <w:sz w:val="20"/>
        </w:rPr>
        <w:t>ACENova shall implement one shared Universal Template Platform for authorised creation, review, publication, assignment, resolution and execution of Business Documents, Data-Entry Forms and Surveys. The first production delivery is limited to Sales, CRM and Accounting. Later domains extend the same contracts; they do not create their own builders.</w:t>
      </w:r>
    </w:p>
    <w:tbl>
      <w:tblPr>
        <w:tblW w:type="auto" w:w="0"/>
        <w:tblLayout w:type="fixed"/>
        <w:tblLook w:firstColumn="1" w:firstRow="1" w:lastColumn="0" w:lastRow="0" w:noHBand="0" w:noVBand="1" w:val="04A0"/>
      </w:tblPr>
      <w:tblGrid>
        <w:gridCol w:w="9878"/>
      </w:tblGrid>
      <w:tr>
        <w:tc>
          <w:tcPr>
            <w:tcW w:type="dxa" w:w="9878"/>
            <w:shd w:fill="E8EEF5"/>
            <w:tcMar>
              <w:top w:w="75" w:type="dxa"/>
              <w:start w:w="110" w:type="dxa"/>
              <w:bottom w:w="75" w:type="dxa"/>
              <w:end w:w="110" w:type="dxa"/>
            </w:tcMar>
          </w:tcPr>
          <w:p>
            <w:pPr>
              <w:spacing w:after="0"/>
            </w:pPr>
            <w:r/>
            <w:r>
              <w:rPr>
                <w:b/>
                <w:color w:val="17365D"/>
                <w:sz w:val="20"/>
              </w:rPr>
              <w:t xml:space="preserve">Non-negotiable separation: </w:t>
            </w:r>
            <w:r>
              <w:rPr>
                <w:sz w:val="20"/>
              </w:rPr>
              <w:t>Publication is an editorial state. Runtime activation is a separate eligibility decision requiring tenant, entitlement, module, feature, runtime mode, permission, compatible contract, effective assignment and published version.</w:t>
            </w:r>
          </w:p>
        </w:tc>
      </w:tr>
    </w:tbl>
    <w:p>
      <w:pPr>
        <w:spacing w:after="20"/>
      </w:pPr>
    </w:p>
    <w:p>
      <w:pPr>
        <w:pStyle w:val="Heading1"/>
      </w:pPr>
      <w:r>
        <w:t>3. Terminology</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288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Term</w:t>
            </w:r>
          </w:p>
        </w:tc>
        <w:tc>
          <w:tcPr>
            <w:tcW w:type="dxa" w:w="633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Meaning</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Runtime Mode</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ADR-001 integration behaviour: Coupled, Decoupled or External Integration</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Template Interaction Type</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BUSINESS_DOCUMENT, DATA_ENTRY_FORM or SURVEY_ASSESSMENT</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Template Type</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Registered business purpose such as sales_quotation or ar_invoice</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Published Version</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Immutable editorial version; not automatically active</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Runtime Eligibility</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Computed permission to execute a template for a specific context</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Assignment</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Effective rule selecting a compatible published version for a defined scope</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Generated Artifact</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Immutable rendered business output and integrity metadata</w:t>
            </w:r>
          </w:p>
        </w:tc>
      </w:tr>
    </w:tbl>
    <w:p>
      <w:pPr>
        <w:spacing w:after="20"/>
      </w:pPr>
    </w:p>
    <w:p>
      <w:pPr>
        <w:pStyle w:val="Heading1"/>
      </w:pPr>
      <w:r>
        <w:t>4. Scope</w:t>
      </w:r>
    </w:p>
    <w:p>
      <w:pPr>
        <w:pStyle w:val="Heading2"/>
      </w:pPr>
      <w:r>
        <w:t>4.1 Current delivery domains</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2469"/>
        <w:gridCol w:w="2469"/>
        <w:gridCol w:w="2469"/>
        <w:gridCol w:w="2469"/>
      </w:tblGrid>
      <w:tr>
        <w:trPr>
          <w:tblHeader w:val="true"/>
        </w:trPr>
        <w:tc>
          <w:tcPr>
            <w:tcW w:type="dxa" w:w="144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Domain</w:t>
            </w:r>
          </w:p>
        </w:tc>
        <w:tc>
          <w:tcPr>
            <w:tcW w:type="dxa" w:w="3024"/>
            <w:vAlign w:val="center"/>
            <w:tcMar>
              <w:top w:w="75" w:type="dxa"/>
              <w:start w:w="110" w:type="dxa"/>
              <w:bottom w:w="75" w:type="dxa"/>
              <w:end w:w="110" w:type="dxa"/>
            </w:tcMar>
            <w:shd w:fill="1F4E78"/>
          </w:tcPr>
          <w:p>
            <w:pPr>
              <w:spacing w:after="0" w:line="240" w:lineRule="auto"/>
            </w:pPr>
            <w:r/>
            <w:r>
              <w:rPr>
                <w:rFonts w:ascii="Calibri" w:hAnsi="Calibri"/>
                <w:b/>
                <w:color w:val="FFFFFF"/>
                <w:sz w:val="17"/>
              </w:rPr>
              <w:t>Business Documents</w:t>
            </w:r>
          </w:p>
        </w:tc>
        <w:tc>
          <w:tcPr>
            <w:tcW w:type="dxa" w:w="3024"/>
            <w:vAlign w:val="center"/>
            <w:tcMar>
              <w:top w:w="75" w:type="dxa"/>
              <w:start w:w="110" w:type="dxa"/>
              <w:bottom w:w="75" w:type="dxa"/>
              <w:end w:w="110" w:type="dxa"/>
            </w:tcMar>
            <w:shd w:fill="1F4E78"/>
          </w:tcPr>
          <w:p>
            <w:pPr>
              <w:spacing w:after="0" w:line="240" w:lineRule="auto"/>
            </w:pPr>
            <w:r/>
            <w:r>
              <w:rPr>
                <w:rFonts w:ascii="Calibri" w:hAnsi="Calibri"/>
                <w:b/>
                <w:color w:val="FFFFFF"/>
                <w:sz w:val="17"/>
              </w:rPr>
              <w:t>Data-Entry Forms</w:t>
            </w:r>
          </w:p>
        </w:tc>
        <w:tc>
          <w:tcPr>
            <w:tcW w:type="dxa" w:w="172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Surveys / Assessments</w:t>
            </w:r>
          </w:p>
        </w:tc>
      </w:tr>
      <w:tr>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5"/>
              </w:rPr>
              <w:t>Sales</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Quotation; revised quotation; pro forma invoice; sales order; order confirmation; delivery instruction; sales return; price list</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Quotation request; discount approval; special-price approval; sales-order amendment; cancellation; return; credit-limit request</w:t>
            </w:r>
          </w:p>
        </w:tc>
        <w:tc>
          <w:tcPr>
            <w:tcW w:type="dxa" w:w="1728"/>
            <w:vAlign w:val="center"/>
            <w:tcMar>
              <w:top w:w="75" w:type="dxa"/>
              <w:start w:w="110" w:type="dxa"/>
              <w:bottom w:w="75" w:type="dxa"/>
              <w:end w:w="110" w:type="dxa"/>
            </w:tcMar>
          </w:tcPr>
          <w:p>
            <w:pPr>
              <w:spacing w:after="0" w:line="240" w:lineRule="auto"/>
            </w:pPr>
            <w:r/>
            <w:r>
              <w:rPr>
                <w:rFonts w:ascii="Calibri" w:hAnsi="Calibri"/>
                <w:b w:val="0"/>
                <w:color w:val="000000"/>
                <w:sz w:val="15"/>
              </w:rPr>
              <w:t>Sales-process feedback; product feedback; post-purchase survey; delivery satisfaction</w:t>
            </w:r>
          </w:p>
        </w:tc>
      </w:tr>
      <w:tr>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5"/>
              </w:rPr>
              <w:t>CRM</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Lead/opportunity summary; customer profile; account review; sales-visit report; pipeline/campaign report</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Lead capture; customer registration/onboarding; contact update; qualification; consent/marketing preference; lost-opportunity reason</w:t>
            </w:r>
          </w:p>
        </w:tc>
        <w:tc>
          <w:tcPr>
            <w:tcW w:type="dxa" w:w="1728"/>
            <w:vAlign w:val="center"/>
            <w:tcMar>
              <w:top w:w="75" w:type="dxa"/>
              <w:start w:w="110" w:type="dxa"/>
              <w:bottom w:w="75" w:type="dxa"/>
              <w:end w:w="110" w:type="dxa"/>
            </w:tcMar>
          </w:tcPr>
          <w:p>
            <w:pPr>
              <w:spacing w:after="0" w:line="240" w:lineRule="auto"/>
            </w:pPr>
            <w:r/>
            <w:r>
              <w:rPr>
                <w:rFonts w:ascii="Calibri" w:hAnsi="Calibri"/>
                <w:b w:val="0"/>
                <w:color w:val="000000"/>
                <w:sz w:val="15"/>
              </w:rPr>
              <w:t>Customer satisfaction; NPS; product-interest; lost-sales; campaign feedback; needs assessment</w:t>
            </w:r>
          </w:p>
        </w:tc>
      </w:tr>
      <w:tr>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5"/>
              </w:rPr>
              <w:t>Accounting</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Invoice; credit note; debit note; official/payment receipt; vouchers; customer/supplier statement; ageing; GL/TB/P&amp;L/BS/CF; tax and close reports</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Expense/payment/refund/journal requests; credit/debit-note request; budget/transfer; write-off; period reopen</w:t>
            </w:r>
          </w:p>
        </w:tc>
        <w:tc>
          <w:tcPr>
            <w:tcW w:type="dxa" w:w="1728"/>
            <w:vAlign w:val="center"/>
            <w:tcMar>
              <w:top w:w="75" w:type="dxa"/>
              <w:start w:w="110" w:type="dxa"/>
              <w:bottom w:w="75" w:type="dxa"/>
              <w:end w:w="110" w:type="dxa"/>
            </w:tcMar>
          </w:tcPr>
          <w:p>
            <w:pPr>
              <w:spacing w:after="0" w:line="240" w:lineRule="auto"/>
            </w:pPr>
            <w:r/>
            <w:r>
              <w:rPr>
                <w:rFonts w:ascii="Calibri" w:hAnsi="Calibri"/>
                <w:b w:val="0"/>
                <w:color w:val="000000"/>
                <w:sz w:val="15"/>
              </w:rPr>
              <w:t>Financial-control questionnaire; close checklist; audit readiness; finance-process feedback</w:t>
            </w:r>
          </w:p>
        </w:tc>
      </w:tr>
    </w:tbl>
    <w:p>
      <w:pPr>
        <w:spacing w:after="20"/>
      </w:pPr>
    </w:p>
    <w:p>
      <w:pPr>
        <w:pStyle w:val="Heading2"/>
      </w:pPr>
      <w:r>
        <w:t>4.2 Deferred extension domains</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3293"/>
        <w:gridCol w:w="3293"/>
        <w:gridCol w:w="3293"/>
      </w:tblGrid>
      <w:tr>
        <w:trPr>
          <w:tblHeader w:val="true"/>
        </w:trPr>
        <w:tc>
          <w:tcPr>
            <w:tcW w:type="dxa" w:w="144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Wave</w:t>
            </w:r>
          </w:p>
        </w:tc>
        <w:tc>
          <w:tcPr>
            <w:tcW w:type="dxa" w:w="3024"/>
            <w:vAlign w:val="center"/>
            <w:tcMar>
              <w:top w:w="75" w:type="dxa"/>
              <w:start w:w="110" w:type="dxa"/>
              <w:bottom w:w="75" w:type="dxa"/>
              <w:end w:w="110" w:type="dxa"/>
            </w:tcMar>
            <w:shd w:fill="1F4E78"/>
          </w:tcPr>
          <w:p>
            <w:pPr>
              <w:spacing w:after="0" w:line="240" w:lineRule="auto"/>
            </w:pPr>
            <w:r/>
            <w:r>
              <w:rPr>
                <w:rFonts w:ascii="Calibri" w:hAnsi="Calibri"/>
                <w:b/>
                <w:color w:val="FFFFFF"/>
                <w:sz w:val="17"/>
              </w:rPr>
              <w:t>Domains</w:t>
            </w:r>
          </w:p>
        </w:tc>
        <w:tc>
          <w:tcPr>
            <w:tcW w:type="dxa" w:w="4752"/>
            <w:vAlign w:val="center"/>
            <w:tcMar>
              <w:top w:w="75" w:type="dxa"/>
              <w:start w:w="110" w:type="dxa"/>
              <w:bottom w:w="75" w:type="dxa"/>
              <w:end w:w="110" w:type="dxa"/>
            </w:tcMar>
            <w:shd w:fill="1F4E78"/>
          </w:tcPr>
          <w:p>
            <w:pPr>
              <w:spacing w:after="0" w:line="240" w:lineRule="auto"/>
            </w:pPr>
            <w:r/>
            <w:r>
              <w:rPr>
                <w:rFonts w:ascii="Calibri" w:hAnsi="Calibri"/>
                <w:b/>
                <w:color w:val="FFFFFF"/>
                <w:sz w:val="17"/>
              </w:rPr>
              <w:t>Current ADR-004 obligation</w:t>
            </w:r>
          </w:p>
        </w:tc>
      </w:tr>
      <w:tr>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7"/>
              </w:rPr>
              <w:t>Wave 2</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7"/>
              </w:rPr>
              <w:t>Field Service and Service Industry</w:t>
            </w:r>
          </w:p>
        </w:tc>
        <w:tc>
          <w:tcPr>
            <w:tcW w:type="dxa" w:w="4752"/>
            <w:vAlign w:val="center"/>
            <w:tcMar>
              <w:top w:w="75" w:type="dxa"/>
              <w:start w:w="110" w:type="dxa"/>
              <w:bottom w:w="75" w:type="dxa"/>
              <w:end w:w="110" w:type="dxa"/>
            </w:tcMar>
          </w:tcPr>
          <w:p>
            <w:pPr>
              <w:spacing w:after="0" w:line="240" w:lineRule="auto"/>
            </w:pPr>
            <w:r/>
            <w:r>
              <w:rPr>
                <w:rFonts w:ascii="Calibri" w:hAnsi="Calibri"/>
                <w:b w:val="0"/>
                <w:color w:val="000000"/>
                <w:sz w:val="17"/>
              </w:rPr>
              <w:t>Reserve extension contracts for mobile evidence, work orders, signatures, service commercial models and offline-ready runtime</w:t>
            </w:r>
          </w:p>
        </w:tc>
      </w:tr>
      <w:tr>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7"/>
              </w:rPr>
              <w:t>Wave 3</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7"/>
              </w:rPr>
              <w:t>Contract and Project Management</w:t>
            </w:r>
          </w:p>
        </w:tc>
        <w:tc>
          <w:tcPr>
            <w:tcW w:type="dxa" w:w="4752"/>
            <w:vAlign w:val="center"/>
            <w:tcMar>
              <w:top w:w="75" w:type="dxa"/>
              <w:start w:w="110" w:type="dxa"/>
              <w:bottom w:w="75" w:type="dxa"/>
              <w:end w:w="110" w:type="dxa"/>
            </w:tcMar>
          </w:tcPr>
          <w:p>
            <w:pPr>
              <w:spacing w:after="0" w:line="240" w:lineRule="auto"/>
            </w:pPr>
            <w:r/>
            <w:r>
              <w:rPr>
                <w:rFonts w:ascii="Calibri" w:hAnsi="Calibri"/>
                <w:b w:val="0"/>
                <w:color w:val="000000"/>
                <w:sz w:val="17"/>
              </w:rPr>
              <w:t>Reserve revision, transmittal, milestone, claim, approval, document-control and project/site scope contracts</w:t>
            </w:r>
          </w:p>
        </w:tc>
      </w:tr>
      <w:tr>
        <w:tc>
          <w:tcPr>
            <w:tcW w:type="dxa" w:w="1440"/>
            <w:vAlign w:val="center"/>
            <w:tcMar>
              <w:top w:w="75" w:type="dxa"/>
              <w:start w:w="110" w:type="dxa"/>
              <w:bottom w:w="75" w:type="dxa"/>
              <w:end w:w="110" w:type="dxa"/>
            </w:tcMar>
          </w:tcPr>
          <w:p>
            <w:pPr>
              <w:spacing w:after="0" w:line="240" w:lineRule="auto"/>
            </w:pPr>
            <w:r/>
            <w:r>
              <w:rPr>
                <w:rFonts w:ascii="Calibri" w:hAnsi="Calibri"/>
                <w:b w:val="0"/>
                <w:color w:val="000000"/>
                <w:sz w:val="17"/>
              </w:rPr>
              <w:t>Later industry packs</w:t>
            </w:r>
          </w:p>
        </w:tc>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7"/>
              </w:rPr>
              <w:t>Construction, Facilities, Maintenance and other UDLTB-IMP-001 domains</w:t>
            </w:r>
          </w:p>
        </w:tc>
        <w:tc>
          <w:tcPr>
            <w:tcW w:type="dxa" w:w="4752"/>
            <w:vAlign w:val="center"/>
            <w:tcMar>
              <w:top w:w="75" w:type="dxa"/>
              <w:start w:w="110" w:type="dxa"/>
              <w:bottom w:w="75" w:type="dxa"/>
              <w:end w:w="110" w:type="dxa"/>
            </w:tcMar>
          </w:tcPr>
          <w:p>
            <w:pPr>
              <w:spacing w:after="0" w:line="240" w:lineRule="auto"/>
            </w:pPr>
            <w:r/>
            <w:r>
              <w:rPr>
                <w:rFonts w:ascii="Calibri" w:hAnsi="Calibri"/>
                <w:b w:val="0"/>
                <w:color w:val="000000"/>
                <w:sz w:val="17"/>
              </w:rPr>
              <w:t>Register only through the same platform; no independent builder</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FFF2CC"/>
            <w:tcMar>
              <w:top w:w="75" w:type="dxa"/>
              <w:start w:w="110" w:type="dxa"/>
              <w:bottom w:w="75" w:type="dxa"/>
              <w:end w:w="110" w:type="dxa"/>
            </w:tcMar>
          </w:tcPr>
          <w:p>
            <w:pPr>
              <w:spacing w:after="0"/>
            </w:pPr>
            <w:r/>
            <w:r>
              <w:rPr>
                <w:b/>
                <w:color w:val="17365D"/>
                <w:sz w:val="20"/>
              </w:rPr>
              <w:t xml:space="preserve">Scope claim rule: </w:t>
            </w:r>
            <w:r>
              <w:rPr>
                <w:sz w:val="20"/>
              </w:rPr>
              <w:t>ADR-004 architecture is extension-ready, but current implementation must not be reported as supporting Field Service, Contract, Project or Service Industry until their registered packs, adapters and end-to-end evidence are accepted.</w:t>
            </w:r>
          </w:p>
        </w:tc>
      </w:tr>
    </w:tbl>
    <w:p>
      <w:pPr>
        <w:spacing w:after="20"/>
      </w:pPr>
    </w:p>
    <w:p>
      <w:r>
        <w:br w:type="page"/>
      </w:r>
    </w:p>
    <w:p>
      <w:pPr>
        <w:pStyle w:val="Heading1"/>
      </w:pPr>
      <w:r>
        <w:t>5. ADR-000 shared-service boundary map</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3293"/>
        <w:gridCol w:w="3293"/>
        <w:gridCol w:w="3293"/>
      </w:tblGrid>
      <w:tr>
        <w:trPr>
          <w:tblHeader w:val="true"/>
        </w:trPr>
        <w:tc>
          <w:tcPr>
            <w:tcW w:type="dxa" w:w="3024"/>
            <w:vAlign w:val="center"/>
            <w:tcMar>
              <w:top w:w="75" w:type="dxa"/>
              <w:start w:w="110" w:type="dxa"/>
              <w:bottom w:w="75" w:type="dxa"/>
              <w:end w:w="110" w:type="dxa"/>
            </w:tcMar>
            <w:shd w:fill="1F4E78"/>
          </w:tcPr>
          <w:p>
            <w:pPr>
              <w:spacing w:after="0" w:line="240" w:lineRule="auto"/>
            </w:pPr>
            <w:r/>
            <w:r>
              <w:rPr>
                <w:rFonts w:ascii="Calibri" w:hAnsi="Calibri"/>
                <w:b/>
                <w:color w:val="FFFFFF"/>
                <w:sz w:val="17"/>
              </w:rPr>
              <w:t>ADR-000 service</w:t>
            </w:r>
          </w:p>
        </w:tc>
        <w:tc>
          <w:tcPr>
            <w:tcW w:type="dxa" w:w="3672"/>
            <w:vAlign w:val="center"/>
            <w:tcMar>
              <w:top w:w="75" w:type="dxa"/>
              <w:start w:w="110" w:type="dxa"/>
              <w:bottom w:w="75" w:type="dxa"/>
              <w:end w:w="110" w:type="dxa"/>
            </w:tcMar>
            <w:shd w:fill="1F4E78"/>
          </w:tcPr>
          <w:p>
            <w:pPr>
              <w:spacing w:after="0" w:line="240" w:lineRule="auto"/>
            </w:pPr>
            <w:r/>
            <w:r>
              <w:rPr>
                <w:rFonts w:ascii="Calibri" w:hAnsi="Calibri"/>
                <w:b/>
                <w:color w:val="FFFFFF"/>
                <w:sz w:val="17"/>
              </w:rPr>
              <w:t>ADR-004 responsibility</w:t>
            </w:r>
          </w:p>
        </w:tc>
        <w:tc>
          <w:tcPr>
            <w:tcW w:type="dxa" w:w="252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Prohibited duplication</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#51 Document Numbering</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Consume approved numbers for domain documents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Template Platform must not generate authoritative transaction numbers</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#52 Document Template Service</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Expanded as Universal Template Registry and Authoring core</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module-local template editor</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#53 File and Attachment</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Store, classify, scan and authorise files/assets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template-local physical file store</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#54 Document Archive / #46–47 retention/legal hold</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Archive and retain templates/artifacts/responses under policy</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independent purge or legal-hold engine</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#55 PDF Generation</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Render approved template snapshot and data payload</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module-specific PDF renderer</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#56–57 Email/Letter/Notice Templates</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Consume the common authoring/version platform as specialised types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second template studio</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#58 Digital Signature Integration</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Legally verified signature provider and audit</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A signature image must not be represented as verified e-signature</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#59 Document Versioning</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Provide immutable revision/supersession primitives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separate generic version engine</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#60 Document Access Policy</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Enforce document visibility and restricted access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duplicate RBAC/access policy</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#122 Industry Template Service</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Package/register starter templates into #52</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industry-specific builder</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#169 Public Form Service</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External secure-link execution and submission access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public-token implementation inside each domain</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#170 Form Builder Foundation</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Schema/runtime validation consumed by #52 visual studio</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second visual form builder</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#171 Rule Engine</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Evaluate approved declarative conditions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arbitrary expressions or domain rule duplication</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#176 Secure Share</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Time-limited document/form/survey links</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No unmanaged public URL</w:t>
            </w:r>
          </w:p>
        </w:tc>
      </w:tr>
      <w:tr>
        <w:tc>
          <w:tcPr>
            <w:tcW w:type="dxa" w:w="3024"/>
            <w:vAlign w:val="center"/>
            <w:tcMar>
              <w:top w:w="75" w:type="dxa"/>
              <w:start w:w="110" w:type="dxa"/>
              <w:bottom w:w="75" w:type="dxa"/>
              <w:end w:w="110" w:type="dxa"/>
            </w:tcMar>
          </w:tcPr>
          <w:p>
            <w:pPr>
              <w:spacing w:after="0" w:line="240" w:lineRule="auto"/>
            </w:pPr>
            <w:r/>
            <w:r>
              <w:rPr>
                <w:rFonts w:ascii="Calibri" w:hAnsi="Calibri"/>
                <w:b w:val="0"/>
                <w:color w:val="000000"/>
                <w:sz w:val="15"/>
              </w:rPr>
              <w:t>Workflow/Approval services</w:t>
            </w:r>
          </w:p>
        </w:tc>
        <w:tc>
          <w:tcPr>
            <w:tcW w:type="dxa" w:w="3672"/>
            <w:vAlign w:val="center"/>
            <w:tcMar>
              <w:top w:w="75" w:type="dxa"/>
              <w:start w:w="110" w:type="dxa"/>
              <w:bottom w:w="75" w:type="dxa"/>
              <w:end w:w="110" w:type="dxa"/>
            </w:tcMar>
          </w:tcPr>
          <w:p>
            <w:pPr>
              <w:spacing w:after="0" w:line="240" w:lineRule="auto"/>
            </w:pPr>
            <w:r/>
            <w:r>
              <w:rPr>
                <w:rFonts w:ascii="Calibri" w:hAnsi="Calibri"/>
                <w:b w:val="0"/>
                <w:color w:val="000000"/>
                <w:sz w:val="15"/>
              </w:rPr>
              <w:t>Review, publish approval and domain-command routing</w:t>
            </w:r>
          </w:p>
        </w:tc>
        <w:tc>
          <w:tcPr>
            <w:tcW w:type="dxa" w:w="2520"/>
            <w:vAlign w:val="center"/>
            <w:tcMar>
              <w:top w:w="75" w:type="dxa"/>
              <w:start w:w="110" w:type="dxa"/>
              <w:bottom w:w="75" w:type="dxa"/>
              <w:end w:w="110" w:type="dxa"/>
            </w:tcMar>
          </w:tcPr>
          <w:p>
            <w:pPr>
              <w:spacing w:after="0" w:line="240" w:lineRule="auto"/>
            </w:pPr>
            <w:r/>
            <w:r>
              <w:rPr>
                <w:rFonts w:ascii="Calibri" w:hAnsi="Calibri"/>
                <w:b w:val="0"/>
                <w:color w:val="000000"/>
                <w:sz w:val="15"/>
              </w:rPr>
              <w:t>Template Platform must not become the enterprise workflow engine</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FCE8E6"/>
            <w:tcMar>
              <w:top w:w="75" w:type="dxa"/>
              <w:start w:w="110" w:type="dxa"/>
              <w:bottom w:w="75" w:type="dxa"/>
              <w:end w:w="110" w:type="dxa"/>
            </w:tcMar>
          </w:tcPr>
          <w:p>
            <w:pPr>
              <w:spacing w:after="0"/>
            </w:pPr>
            <w:r/>
            <w:r>
              <w:rPr>
                <w:b/>
                <w:color w:val="17365D"/>
                <w:sz w:val="20"/>
              </w:rPr>
              <w:t xml:space="preserve">Survey service gap: </w:t>
            </w:r>
            <w:r>
              <w:rPr>
                <w:sz w:val="20"/>
              </w:rPr>
              <w:t>ADR-000 does not currently identify a Survey and Assessment Runtime. Add it to the shared-service catalogue or formally extend #170. Do not bury survey branching, scoring and response policy inside PDF Generation.</w:t>
            </w:r>
          </w:p>
        </w:tc>
      </w:tr>
    </w:tbl>
    <w:p>
      <w:pPr>
        <w:spacing w:after="20"/>
      </w:pPr>
    </w:p>
    <w:p>
      <w:pPr>
        <w:pStyle w:val="Heading1"/>
      </w:pPr>
      <w:r>
        <w:t>6. Platform ownership</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460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Universal Template Platform owns</w:t>
            </w:r>
          </w:p>
        </w:tc>
        <w:tc>
          <w:tcPr>
            <w:tcW w:type="dxa" w:w="460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Domain module owns</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Studio, registry, component/layout schema and validation</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Business purpose and authoritative template-type registration</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Draft, review, publish, immutable version binding and archive request</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Source transaction state, calculations and business validation</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Assignment, resolution explanation and template eligibility adapter</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Triggering event and domain workflow outcome</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Document/form/survey runtime orchestration</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Authoritative record creation through approved command adapter</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Artifact/response references and audit context</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7"/>
              </w:rPr>
              <w:t>Accounting posting, sales status and CRM pipeline state</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FFF2CC"/>
            <w:tcMar>
              <w:top w:w="75" w:type="dxa"/>
              <w:start w:w="110" w:type="dxa"/>
              <w:bottom w:w="75" w:type="dxa"/>
              <w:end w:w="110" w:type="dxa"/>
            </w:tcMar>
          </w:tcPr>
          <w:p>
            <w:pPr>
              <w:spacing w:after="0"/>
            </w:pPr>
            <w:r/>
            <w:r>
              <w:rPr>
                <w:b/>
                <w:color w:val="17365D"/>
                <w:sz w:val="20"/>
              </w:rPr>
              <w:t xml:space="preserve">Authority prohibition: </w:t>
            </w:r>
            <w:r>
              <w:rPr>
                <w:sz w:val="20"/>
              </w:rPr>
              <w:t>Template Platform must never calculate or overwrite authoritative tax, totals, journal entries, balances, credit decisions, opportunity stages, sales-order states or posting outcomes.</w:t>
            </w:r>
          </w:p>
        </w:tc>
      </w:tr>
    </w:tbl>
    <w:p>
      <w:pPr>
        <w:spacing w:after="20"/>
      </w:pPr>
    </w:p>
    <w:p>
      <w:pPr>
        <w:pStyle w:val="Heading1"/>
      </w:pPr>
      <w:r>
        <w:t>7. Registration contract</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309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Required field</w:t>
            </w:r>
          </w:p>
        </w:tc>
        <w:tc>
          <w:tcPr>
            <w:tcW w:type="dxa" w:w="612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Requirement</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domain_module_code</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sales, crm, accounting or future registered module</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template_type_code</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Stable unique purpose code</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template_interaction_type</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BUSINESS_DOCUMENT, DATA_ENTRY_FORM or SURVEY_ASSESSMENT</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runtime_mode</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COUPLED, DECOUPLED or EXTERNAL_INTEGRATION from ADR-001</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source_or_target_contract</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Versioned read schema or approved command schema</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required_platform_services</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Explicit ADR-000 service dependencies</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feature/entitlement codes</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Stable capability codes; never hardcoded plan names</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component profile</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Allowed components, nesting, validation and limits</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channels</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HTML, PDF, print, email, portal, authenticated form, public link</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scope/jurisdiction</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Tenant, entity, branch, language, currency, country and effective dates</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security/retention</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Classification, consent, access, artifact/response retention</w:t>
            </w:r>
          </w:p>
        </w:tc>
      </w:tr>
      <w:tr>
        <w:tc>
          <w:tcPr>
            <w:tcW w:type="dxa" w:w="3096"/>
            <w:vAlign w:val="center"/>
            <w:tcMar>
              <w:top w:w="75" w:type="dxa"/>
              <w:start w:w="110" w:type="dxa"/>
              <w:bottom w:w="75" w:type="dxa"/>
              <w:end w:w="110" w:type="dxa"/>
            </w:tcMar>
          </w:tcPr>
          <w:p>
            <w:pPr>
              <w:spacing w:after="0" w:line="240" w:lineRule="auto"/>
            </w:pPr>
            <w:r/>
            <w:r>
              <w:rPr>
                <w:rFonts w:ascii="Calibri" w:hAnsi="Calibri"/>
                <w:b w:val="0"/>
                <w:color w:val="000000"/>
                <w:sz w:val="16"/>
              </w:rPr>
              <w:t>acceptance reference</w:t>
            </w:r>
          </w:p>
        </w:tc>
        <w:tc>
          <w:tcPr>
            <w:tcW w:type="dxa" w:w="6120"/>
            <w:vAlign w:val="center"/>
            <w:tcMar>
              <w:top w:w="75" w:type="dxa"/>
              <w:start w:w="110" w:type="dxa"/>
              <w:bottom w:w="75" w:type="dxa"/>
              <w:end w:w="110" w:type="dxa"/>
            </w:tcMar>
          </w:tcPr>
          <w:p>
            <w:pPr>
              <w:spacing w:after="0" w:line="240" w:lineRule="auto"/>
            </w:pPr>
            <w:r/>
            <w:r>
              <w:rPr>
                <w:rFonts w:ascii="Calibri" w:hAnsi="Calibri"/>
                <w:b w:val="0"/>
                <w:color w:val="000000"/>
                <w:sz w:val="16"/>
              </w:rPr>
              <w:t>Test IDs and evidence pack</w:t>
            </w:r>
          </w:p>
        </w:tc>
      </w:tr>
    </w:tbl>
    <w:p>
      <w:pPr>
        <w:spacing w:after="20"/>
      </w:pPr>
    </w:p>
    <w:p>
      <w:pPr>
        <w:pStyle w:val="Heading1"/>
      </w:pPr>
      <w:r>
        <w:t>8. Data contracts for current domains</w:t>
      </w:r>
    </w:p>
    <w:p>
      <w:pPr>
        <w:pStyle w:val="Heading2"/>
      </w:pPr>
      <w:r>
        <w:t>8.1 Contact Master dependency</w:t>
      </w:r>
    </w:p>
    <w:p>
      <w:pPr>
        <w:pStyle w:val="ListBullet"/>
        <w:spacing w:after="40" w:line="252" w:lineRule="auto"/>
      </w:pPr>
      <w:r>
        <w:rPr>
          <w:sz w:val="20"/>
        </w:rPr>
        <w:t>Customer, prospect, lead, contact person and supplier identities resolve through canonical core_contact_uuid; no crm_contacts or accounting_customers identity master.</w:t>
      </w:r>
    </w:p>
    <w:p>
      <w:pPr>
        <w:pStyle w:val="ListBullet"/>
        <w:spacing w:after="40" w:line="252" w:lineRule="auto"/>
      </w:pPr>
      <w:r>
        <w:rPr>
          <w:sz w:val="20"/>
        </w:rPr>
        <w:t>Address, method, relationship and consent fields are exposed only through evidenced Contact Master APIs/contracts and permissions.</w:t>
      </w:r>
    </w:p>
    <w:p>
      <w:pPr>
        <w:pStyle w:val="ListBullet"/>
        <w:spacing w:after="40" w:line="252" w:lineRule="auto"/>
      </w:pPr>
      <w:r>
        <w:rPr>
          <w:sz w:val="20"/>
        </w:rPr>
        <w:t>Accounting and CRM profiles are module-owned extensions linked to core_contact_uuid.</w:t>
      </w:r>
    </w:p>
    <w:p>
      <w:pPr>
        <w:pStyle w:val="ListBullet"/>
        <w:spacing w:after="40" w:line="252" w:lineRule="auto"/>
      </w:pPr>
      <w:r>
        <w:rPr>
          <w:sz w:val="20"/>
        </w:rPr>
        <w:t>Issued documents snapshot legally/business-relevant contact name, address, registration and tax details; later contact edits must not mutate the artifact.</w:t>
      </w:r>
    </w:p>
    <w:p>
      <w:pPr>
        <w:pStyle w:val="Heading2"/>
      </w:pPr>
      <w:r>
        <w:t>8.2 Sales and CRM source rules</w:t>
      </w:r>
    </w:p>
    <w:p>
      <w:pPr>
        <w:pStyle w:val="ListBullet"/>
        <w:spacing w:after="40" w:line="252" w:lineRule="auto"/>
      </w:pPr>
      <w:r>
        <w:rPr>
          <w:sz w:val="20"/>
        </w:rPr>
        <w:t>Quotation and sales-order data sources expose approved header, line, pricing, discount, tax-result, validity, terms and status fields; the template does not recompute them.</w:t>
      </w:r>
    </w:p>
    <w:p>
      <w:pPr>
        <w:pStyle w:val="ListBullet"/>
        <w:spacing w:after="40" w:line="252" w:lineRule="auto"/>
      </w:pPr>
      <w:r>
        <w:rPr>
          <w:sz w:val="20"/>
        </w:rPr>
        <w:t>CRM forms may create a lead/contact request only through an approved idempotent command adapter with duplicate/consent checks.</w:t>
      </w:r>
    </w:p>
    <w:p>
      <w:pPr>
        <w:pStyle w:val="ListBullet"/>
        <w:spacing w:after="40" w:line="252" w:lineRule="auto"/>
      </w:pPr>
      <w:r>
        <w:rPr>
          <w:sz w:val="20"/>
        </w:rPr>
        <w:t>Marketing surveys and public forms enforce consent, purpose, expiry, rate limit and respondent policy.</w:t>
      </w:r>
    </w:p>
    <w:p>
      <w:pPr>
        <w:pStyle w:val="Heading2"/>
      </w:pPr>
      <w:r>
        <w:t>8.3 Accounting source rules</w:t>
      </w:r>
    </w:p>
    <w:p>
      <w:pPr>
        <w:pStyle w:val="ListBullet"/>
        <w:spacing w:after="40" w:line="252" w:lineRule="auto"/>
      </w:pPr>
      <w:r>
        <w:rPr>
          <w:sz w:val="20"/>
        </w:rPr>
        <w:t>Invoice, credit/debit note, receipt and statements consume posted/approved accounting data and immutable line/tax/total results.</w:t>
      </w:r>
    </w:p>
    <w:p>
      <w:pPr>
        <w:pStyle w:val="ListBullet"/>
        <w:spacing w:after="40" w:line="252" w:lineRule="auto"/>
      </w:pPr>
      <w:r>
        <w:rPr>
          <w:sz w:val="20"/>
        </w:rPr>
        <w:t>Draft preview is explicitly watermarked and cannot be represented as an issued tax/accounting document.</w:t>
      </w:r>
    </w:p>
    <w:p>
      <w:pPr>
        <w:pStyle w:val="ListBullet"/>
        <w:spacing w:after="40" w:line="252" w:lineRule="auto"/>
      </w:pPr>
      <w:r>
        <w:rPr>
          <w:sz w:val="20"/>
        </w:rPr>
        <w:t>Financial reports consume approved Reporting/Export contracts and access policies; Template Platform must not query ledger tables directly.</w:t>
      </w:r>
    </w:p>
    <w:p>
      <w:pPr>
        <w:pStyle w:val="ListBullet"/>
        <w:spacing w:after="40" w:line="252" w:lineRule="auto"/>
      </w:pPr>
      <w:r>
        <w:rPr>
          <w:sz w:val="20"/>
        </w:rPr>
        <w:t>Regeneration never overwrites the legally authoritative original artifact.</w:t>
      </w:r>
    </w:p>
    <w:p>
      <w:pPr>
        <w:pStyle w:val="Heading1"/>
      </w:pPr>
      <w:r>
        <w:t>9. Editorial lifecycle and runtime eligibility</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2232"/>
            <w:vAlign w:val="center"/>
            <w:tcMar>
              <w:top w:w="75" w:type="dxa"/>
              <w:start w:w="110" w:type="dxa"/>
              <w:bottom w:w="75" w:type="dxa"/>
              <w:end w:w="110" w:type="dxa"/>
            </w:tcMar>
            <w:shd w:fill="1F4E78"/>
          </w:tcPr>
          <w:p>
            <w:pPr>
              <w:spacing w:after="0" w:line="240" w:lineRule="auto"/>
            </w:pPr>
            <w:r/>
            <w:r>
              <w:rPr>
                <w:rFonts w:ascii="Calibri" w:hAnsi="Calibri"/>
                <w:b/>
                <w:color w:val="FFFFFF"/>
                <w:sz w:val="17"/>
              </w:rPr>
              <w:t>Editorial state</w:t>
            </w:r>
          </w:p>
        </w:tc>
        <w:tc>
          <w:tcPr>
            <w:tcW w:type="dxa" w:w="6984"/>
            <w:vAlign w:val="center"/>
            <w:tcMar>
              <w:top w:w="75" w:type="dxa"/>
              <w:start w:w="110" w:type="dxa"/>
              <w:bottom w:w="75" w:type="dxa"/>
              <w:end w:w="110" w:type="dxa"/>
            </w:tcMar>
            <w:shd w:fill="1F4E78"/>
          </w:tcPr>
          <w:p>
            <w:pPr>
              <w:spacing w:after="0" w:line="240" w:lineRule="auto"/>
            </w:pPr>
            <w:r/>
            <w:r>
              <w:rPr>
                <w:rFonts w:ascii="Calibri" w:hAnsi="Calibri"/>
                <w:b/>
                <w:color w:val="FFFFFF"/>
                <w:sz w:val="17"/>
              </w:rPr>
              <w:t>Allowed behaviour</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Draft</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Editable; production use prohibited</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In Review</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Locked or controlled revision; reviewer decision required</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Published</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Immutable version available for eligibility evaluation</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Superseded</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Historical use retained; new resolution normally excluded</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Archived</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Unavailable for new use; history retained under policy</w:t>
            </w:r>
          </w:p>
        </w:tc>
      </w:tr>
    </w:tbl>
    <w:p>
      <w:pPr>
        <w:spacing w:after="20"/>
      </w:pPr>
    </w:p>
    <w:p>
      <w:pPr>
        <w:spacing w:after="100" w:line="259" w:lineRule="auto"/>
      </w:pPr>
      <w:r>
        <w:rPr>
          <w:rFonts w:ascii="Calibri" w:hAnsi="Calibri"/>
          <w:b w:val="0"/>
          <w:color w:val="000000"/>
          <w:sz w:val="20"/>
        </w:rPr>
        <w:t>Runtime eligibility is calculated independently for every UI request, direct API call, job, scheduled generation, public link and integration callback.</w:t>
      </w:r>
    </w:p>
    <w:p>
      <w:pPr>
        <w:pStyle w:val="Heading1"/>
      </w:pPr>
      <w:r>
        <w:t>10. Mandatory evaluation order</w:t>
      </w:r>
    </w:p>
    <w:p>
      <w:pPr>
        <w:spacing w:after="100" w:line="259" w:lineRule="auto"/>
      </w:pPr>
      <w:r>
        <w:rPr>
          <w:rFonts w:ascii="Calibri" w:hAnsi="Calibri"/>
          <w:b w:val="0"/>
          <w:color w:val="000000"/>
          <w:sz w:val="20"/>
        </w:rPr>
        <w:t>ADR-001 remains authoritative. ADR-004 appends template-specific checks; it does not reorder the base controls.</w:t>
      </w:r>
    </w:p>
    <w:p>
      <w:pPr>
        <w:spacing w:after="40" w:line="259" w:lineRule="auto"/>
      </w:pPr>
      <w:r>
        <w:rPr>
          <w:rFonts w:ascii="Calibri" w:hAnsi="Calibri"/>
          <w:b w:val="0"/>
          <w:color w:val="000000"/>
          <w:sz w:val="20"/>
        </w:rPr>
        <w:t>1.  Tenant active?</w:t>
      </w:r>
    </w:p>
    <w:p>
      <w:pPr>
        <w:spacing w:after="40" w:line="259" w:lineRule="auto"/>
      </w:pPr>
      <w:r>
        <w:rPr>
          <w:rFonts w:ascii="Calibri" w:hAnsi="Calibri"/>
          <w:b w:val="0"/>
          <w:color w:val="000000"/>
          <w:sz w:val="20"/>
        </w:rPr>
        <w:t>2.  Subscription/entitlement valid?</w:t>
      </w:r>
    </w:p>
    <w:p>
      <w:pPr>
        <w:spacing w:after="40" w:line="259" w:lineRule="auto"/>
      </w:pPr>
      <w:r>
        <w:rPr>
          <w:rFonts w:ascii="Calibri" w:hAnsi="Calibri"/>
          <w:b w:val="0"/>
          <w:color w:val="000000"/>
          <w:sz w:val="20"/>
        </w:rPr>
        <w:t>3.  Domain module enabled?</w:t>
      </w:r>
    </w:p>
    <w:p>
      <w:pPr>
        <w:spacing w:after="40" w:line="259" w:lineRule="auto"/>
      </w:pPr>
      <w:r>
        <w:rPr>
          <w:rFonts w:ascii="Calibri" w:hAnsi="Calibri"/>
          <w:b w:val="0"/>
          <w:color w:val="000000"/>
          <w:sz w:val="20"/>
        </w:rPr>
        <w:t>4.  Feature flag enabled?</w:t>
      </w:r>
    </w:p>
    <w:p>
      <w:pPr>
        <w:spacing w:after="40" w:line="259" w:lineRule="auto"/>
      </w:pPr>
      <w:r>
        <w:rPr>
          <w:rFonts w:ascii="Calibri" w:hAnsi="Calibri"/>
          <w:b w:val="0"/>
          <w:color w:val="000000"/>
          <w:sz w:val="20"/>
        </w:rPr>
        <w:t>5.  Runtime Mode valid?</w:t>
      </w:r>
    </w:p>
    <w:p>
      <w:pPr>
        <w:spacing w:after="40" w:line="259" w:lineRule="auto"/>
      </w:pPr>
      <w:r>
        <w:rPr>
          <w:rFonts w:ascii="Calibri" w:hAnsi="Calibri"/>
          <w:b w:val="0"/>
          <w:color w:val="000000"/>
          <w:sz w:val="20"/>
        </w:rPr>
        <w:t>6.  Identity authenticated or valid public/service token?</w:t>
      </w:r>
    </w:p>
    <w:p>
      <w:pPr>
        <w:spacing w:after="40" w:line="259" w:lineRule="auto"/>
      </w:pPr>
      <w:r>
        <w:rPr>
          <w:rFonts w:ascii="Calibri" w:hAnsi="Calibri"/>
          <w:b w:val="0"/>
          <w:color w:val="000000"/>
          <w:sz w:val="20"/>
        </w:rPr>
        <w:t>7.  Backend permission granted?</w:t>
      </w:r>
    </w:p>
    <w:p>
      <w:pPr>
        <w:spacing w:after="40" w:line="259" w:lineRule="auto"/>
      </w:pPr>
      <w:r>
        <w:rPr>
          <w:rFonts w:ascii="Calibri" w:hAnsi="Calibri"/>
          <w:b w:val="0"/>
          <w:color w:val="000000"/>
          <w:sz w:val="20"/>
        </w:rPr>
        <w:t>8.  Entity visibility allowed?</w:t>
      </w:r>
    </w:p>
    <w:p>
      <w:pPr>
        <w:spacing w:after="40" w:line="259" w:lineRule="auto"/>
      </w:pPr>
      <w:r>
        <w:rPr>
          <w:rFonts w:ascii="Calibri" w:hAnsi="Calibri"/>
          <w:b w:val="0"/>
          <w:color w:val="000000"/>
          <w:sz w:val="20"/>
        </w:rPr>
        <w:t>9.  Record visibility allowed?</w:t>
      </w:r>
    </w:p>
    <w:p>
      <w:pPr>
        <w:spacing w:after="40" w:line="259" w:lineRule="auto"/>
      </w:pPr>
      <w:r>
        <w:rPr>
          <w:rFonts w:ascii="Calibri" w:hAnsi="Calibri"/>
          <w:b w:val="0"/>
          <w:color w:val="000000"/>
          <w:sz w:val="20"/>
        </w:rPr>
        <w:t>10.  Privacy/consent policy allows?</w:t>
      </w:r>
    </w:p>
    <w:p>
      <w:pPr>
        <w:spacing w:after="40" w:line="259" w:lineRule="auto"/>
      </w:pPr>
      <w:r>
        <w:rPr>
          <w:rFonts w:ascii="Calibri" w:hAnsi="Calibri"/>
          <w:b w:val="0"/>
          <w:color w:val="000000"/>
          <w:sz w:val="20"/>
        </w:rPr>
        <w:t>11.  Required approval satisfied?</w:t>
      </w:r>
    </w:p>
    <w:p>
      <w:pPr>
        <w:spacing w:after="40" w:line="259" w:lineRule="auto"/>
      </w:pPr>
      <w:r>
        <w:rPr>
          <w:rFonts w:ascii="Calibri" w:hAnsi="Calibri"/>
          <w:b w:val="0"/>
          <w:color w:val="000000"/>
          <w:sz w:val="20"/>
        </w:rPr>
        <w:t>12.  Template type registered and interaction type permitted?</w:t>
      </w:r>
    </w:p>
    <w:p>
      <w:pPr>
        <w:spacing w:after="40" w:line="259" w:lineRule="auto"/>
      </w:pPr>
      <w:r>
        <w:rPr>
          <w:rFonts w:ascii="Calibri" w:hAnsi="Calibri"/>
          <w:b w:val="0"/>
          <w:color w:val="000000"/>
          <w:sz w:val="20"/>
        </w:rPr>
        <w:t>13.  Data/component contract compatible?</w:t>
      </w:r>
    </w:p>
    <w:p>
      <w:pPr>
        <w:spacing w:after="40" w:line="259" w:lineRule="auto"/>
      </w:pPr>
      <w:r>
        <w:rPr>
          <w:rFonts w:ascii="Calibri" w:hAnsi="Calibri"/>
          <w:b w:val="0"/>
          <w:color w:val="000000"/>
          <w:sz w:val="20"/>
        </w:rPr>
        <w:t>14.  Required shared services/dependencies available?</w:t>
      </w:r>
    </w:p>
    <w:p>
      <w:pPr>
        <w:spacing w:after="40" w:line="259" w:lineRule="auto"/>
      </w:pPr>
      <w:r>
        <w:rPr>
          <w:rFonts w:ascii="Calibri" w:hAnsi="Calibri"/>
          <w:b w:val="0"/>
          <w:color w:val="000000"/>
          <w:sz w:val="20"/>
        </w:rPr>
        <w:t>15.  Published and effective version exists?</w:t>
      </w:r>
    </w:p>
    <w:p>
      <w:pPr>
        <w:spacing w:after="40" w:line="259" w:lineRule="auto"/>
      </w:pPr>
      <w:r>
        <w:rPr>
          <w:rFonts w:ascii="Calibri" w:hAnsi="Calibri"/>
          <w:b w:val="0"/>
          <w:color w:val="000000"/>
          <w:sz w:val="20"/>
        </w:rPr>
        <w:t>16.  One deterministic assignment resolves?</w:t>
      </w:r>
    </w:p>
    <w:p>
      <w:pPr>
        <w:spacing w:after="40" w:line="259" w:lineRule="auto"/>
      </w:pPr>
      <w:r>
        <w:rPr>
          <w:rFonts w:ascii="Calibri" w:hAnsi="Calibri"/>
          <w:b w:val="0"/>
          <w:color w:val="000000"/>
          <w:sz w:val="20"/>
        </w:rPr>
        <w:t>17.  Channel and respondent/generation policy allows?</w:t>
      </w:r>
    </w:p>
    <w:p>
      <w:pPr>
        <w:spacing w:after="40" w:line="259" w:lineRule="auto"/>
      </w:pPr>
      <w:r>
        <w:rPr>
          <w:rFonts w:ascii="Calibri" w:hAnsi="Calibri"/>
          <w:b w:val="0"/>
          <w:color w:val="000000"/>
          <w:sz w:val="20"/>
        </w:rPr>
        <w:t>18.  Audit and evidence obligations completed?</w:t>
      </w:r>
    </w:p>
    <w:p>
      <w:pPr>
        <w:pStyle w:val="Heading1"/>
      </w:pPr>
      <w:r>
        <w:t>11. Deterministic assignment</w:t>
      </w:r>
    </w:p>
    <w:p>
      <w:pPr>
        <w:spacing w:after="100" w:line="259" w:lineRule="auto"/>
      </w:pPr>
      <w:r>
        <w:rPr>
          <w:rFonts w:ascii="Calibri" w:hAnsi="Calibri"/>
          <w:b w:val="0"/>
          <w:color w:val="000000"/>
          <w:sz w:val="20"/>
        </w:rPr>
        <w:t>Eligible assignments may be scoped by tenant, legal entity, branch/outlet/site, module, template type, jurisdiction, language, currency, customer group, channel and effective period. Platform Context IDs from ADR-001 are authoritative.</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2232"/>
            <w:vAlign w:val="center"/>
            <w:tcMar>
              <w:top w:w="75" w:type="dxa"/>
              <w:start w:w="110" w:type="dxa"/>
              <w:bottom w:w="75" w:type="dxa"/>
              <w:end w:w="110" w:type="dxa"/>
            </w:tcMar>
            <w:shd w:fill="1F4E78"/>
          </w:tcPr>
          <w:p>
            <w:pPr>
              <w:spacing w:after="0" w:line="240" w:lineRule="auto"/>
            </w:pPr>
            <w:r/>
            <w:r>
              <w:rPr>
                <w:rFonts w:ascii="Calibri" w:hAnsi="Calibri"/>
                <w:b/>
                <w:color w:val="FFFFFF"/>
                <w:sz w:val="17"/>
              </w:rPr>
              <w:t>Outcome</w:t>
            </w:r>
          </w:p>
        </w:tc>
        <w:tc>
          <w:tcPr>
            <w:tcW w:type="dxa" w:w="6984"/>
            <w:vAlign w:val="center"/>
            <w:tcMar>
              <w:top w:w="75" w:type="dxa"/>
              <w:start w:w="110" w:type="dxa"/>
              <w:bottom w:w="75" w:type="dxa"/>
              <w:end w:w="110" w:type="dxa"/>
            </w:tcMar>
            <w:shd w:fill="1F4E78"/>
          </w:tcPr>
          <w:p>
            <w:pPr>
              <w:spacing w:after="0" w:line="240" w:lineRule="auto"/>
            </w:pPr>
            <w:r/>
            <w:r>
              <w:rPr>
                <w:rFonts w:ascii="Calibri" w:hAnsi="Calibri"/>
                <w:b/>
                <w:color w:val="FFFFFF"/>
                <w:sz w:val="17"/>
              </w:rPr>
              <w:t>Required result</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One winner</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Return template ID/version and resolution explanation</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No winner</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Use compatible approved system default only if policy permits; otherwise TEMPLATE_NOT_ASSIGNED</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Equal-priority tie</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Reject as TEMPLATE_RESOLUTION_AMBIGUOUS</w:t>
            </w:r>
          </w:p>
        </w:tc>
      </w:tr>
      <w:tr>
        <w:tc>
          <w:tcPr>
            <w:tcW w:type="dxa" w:w="2232"/>
            <w:vAlign w:val="center"/>
            <w:tcMar>
              <w:top w:w="75" w:type="dxa"/>
              <w:start w:w="110" w:type="dxa"/>
              <w:bottom w:w="75" w:type="dxa"/>
              <w:end w:w="110" w:type="dxa"/>
            </w:tcMar>
          </w:tcPr>
          <w:p>
            <w:pPr>
              <w:spacing w:after="0" w:line="240" w:lineRule="auto"/>
            </w:pPr>
            <w:r/>
            <w:r>
              <w:rPr>
                <w:rFonts w:ascii="Calibri" w:hAnsi="Calibri"/>
                <w:b w:val="0"/>
                <w:color w:val="000000"/>
                <w:sz w:val="17"/>
              </w:rPr>
              <w:t>Incompatible fallback</w:t>
            </w:r>
          </w:p>
        </w:tc>
        <w:tc>
          <w:tcPr>
            <w:tcW w:type="dxa" w:w="6984"/>
            <w:vAlign w:val="center"/>
            <w:tcMar>
              <w:top w:w="75" w:type="dxa"/>
              <w:start w:w="110" w:type="dxa"/>
              <w:bottom w:w="75" w:type="dxa"/>
              <w:end w:w="110" w:type="dxa"/>
            </w:tcMar>
          </w:tcPr>
          <w:p>
            <w:pPr>
              <w:spacing w:after="0" w:line="240" w:lineRule="auto"/>
            </w:pPr>
            <w:r/>
            <w:r>
              <w:rPr>
                <w:rFonts w:ascii="Calibri" w:hAnsi="Calibri"/>
                <w:b w:val="0"/>
                <w:color w:val="000000"/>
                <w:sz w:val="17"/>
              </w:rPr>
              <w:t>Reject; never cross module, type, contract or jurisdiction</w:t>
            </w:r>
          </w:p>
        </w:tc>
      </w:tr>
    </w:tbl>
    <w:p>
      <w:pPr>
        <w:spacing w:after="20"/>
      </w:pPr>
    </w:p>
    <w:p>
      <w:r>
        <w:br w:type="page"/>
      </w:r>
    </w:p>
    <w:p>
      <w:pPr>
        <w:pStyle w:val="Heading1"/>
      </w:pPr>
      <w:r>
        <w:t>12. Common studio and runtime requirements</w:t>
      </w:r>
    </w:p>
    <w:p>
      <w:pPr>
        <w:pStyle w:val="ListBullet"/>
        <w:spacing w:after="40" w:line="252" w:lineRule="auto"/>
      </w:pPr>
      <w:r>
        <w:rPr>
          <w:sz w:val="20"/>
        </w:rPr>
        <w:t>Mode-aware palette, canvas, structure tree, property inspector, data browser, validation panel and preview.</w:t>
      </w:r>
    </w:p>
    <w:p>
      <w:pPr>
        <w:pStyle w:val="ListBullet"/>
        <w:spacing w:after="40" w:line="252" w:lineRule="auto"/>
      </w:pPr>
      <w:r>
        <w:rPr>
          <w:sz w:val="20"/>
        </w:rPr>
        <w:t>Nested drag-and-drop, reorder, duplicate, delete, copy/paste, undo/redo, keyboard operation and alignment/spacing controls.</w:t>
      </w:r>
    </w:p>
    <w:p>
      <w:pPr>
        <w:pStyle w:val="ListBullet"/>
        <w:spacing w:after="40" w:line="252" w:lineRule="auto"/>
      </w:pPr>
      <w:r>
        <w:rPr>
          <w:sz w:val="20"/>
        </w:rPr>
        <w:t>Draft recovery, compare versions, review, publish, assign, supersede and archive.</w:t>
      </w:r>
    </w:p>
    <w:p>
      <w:pPr>
        <w:pStyle w:val="ListBullet"/>
        <w:spacing w:after="40" w:line="252" w:lineRule="auto"/>
      </w:pPr>
      <w:r>
        <w:rPr>
          <w:sz w:val="20"/>
        </w:rPr>
        <w:t>Business Documents: A4/Letter/custom page, header/footer, page numbering, repeating line tables, totals, tax summary, conditional blocks, barcode/QR and multi-page control.</w:t>
      </w:r>
    </w:p>
    <w:p>
      <w:pPr>
        <w:pStyle w:val="ListBullet"/>
        <w:spacing w:after="40" w:line="252" w:lineRule="auto"/>
      </w:pPr>
      <w:r>
        <w:rPr>
          <w:sz w:val="20"/>
        </w:rPr>
        <w:t>Forms: typed fields, server validation, conditional visibility/requirement, files/signature, duplicate/idempotency, save/resume and approved command mapping.</w:t>
      </w:r>
    </w:p>
    <w:p>
      <w:pPr>
        <w:pStyle w:val="ListBullet"/>
        <w:spacing w:after="40" w:line="252" w:lineRule="auto"/>
      </w:pPr>
      <w:r>
        <w:rPr>
          <w:sz w:val="20"/>
        </w:rPr>
        <w:t>Surveys: identity policy, open/close dates, response limits, branching, scoring, thresholds, versioned results and permission-controlled analysis/export.</w:t>
      </w:r>
    </w:p>
    <w:p>
      <w:pPr>
        <w:pStyle w:val="Heading1"/>
      </w:pPr>
      <w:r>
        <w:t>13. Historical integrity</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237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Record</w:t>
            </w:r>
          </w:p>
        </w:tc>
        <w:tc>
          <w:tcPr>
            <w:tcW w:type="dxa" w:w="684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Mandatory retained context</w:t>
            </w:r>
          </w:p>
        </w:tc>
      </w:tr>
      <w:tr>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7"/>
              </w:rPr>
              <w:t>Generated business artifact</w:t>
            </w:r>
          </w:p>
        </w:tc>
        <w:tc>
          <w:tcPr>
            <w:tcW w:type="dxa" w:w="6840"/>
            <w:vAlign w:val="center"/>
            <w:tcMar>
              <w:top w:w="75" w:type="dxa"/>
              <w:start w:w="110" w:type="dxa"/>
              <w:bottom w:w="75" w:type="dxa"/>
              <w:end w:w="110" w:type="dxa"/>
            </w:tcMar>
          </w:tcPr>
          <w:p>
            <w:pPr>
              <w:spacing w:after="0" w:line="240" w:lineRule="auto"/>
            </w:pPr>
            <w:r/>
            <w:r>
              <w:rPr>
                <w:rFonts w:ascii="Calibri" w:hAnsi="Calibri"/>
                <w:b w:val="0"/>
                <w:color w:val="000000"/>
                <w:sz w:val="17"/>
              </w:rPr>
              <w:t>Tenant/entity, source ID/version, template/version, data-contract version, locale, renderer, asset versions, actor/time and integrity hash</w:t>
            </w:r>
          </w:p>
        </w:tc>
      </w:tr>
      <w:tr>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7"/>
              </w:rPr>
              <w:t>Accounting/legal artifact</w:t>
            </w:r>
          </w:p>
        </w:tc>
        <w:tc>
          <w:tcPr>
            <w:tcW w:type="dxa" w:w="6840"/>
            <w:vAlign w:val="center"/>
            <w:tcMar>
              <w:top w:w="75" w:type="dxa"/>
              <w:start w:w="110" w:type="dxa"/>
              <w:bottom w:w="75" w:type="dxa"/>
              <w:end w:w="110" w:type="dxa"/>
            </w:tcMar>
          </w:tcPr>
          <w:p>
            <w:pPr>
              <w:spacing w:after="0" w:line="240" w:lineRule="auto"/>
            </w:pPr>
            <w:r/>
            <w:r>
              <w:rPr>
                <w:rFonts w:ascii="Calibri" w:hAnsi="Calibri"/>
                <w:b w:val="0"/>
                <w:color w:val="000000"/>
                <w:sz w:val="17"/>
              </w:rPr>
              <w:t>Original immutable PDF or approved authoritative artifact; regeneration stored separately</w:t>
            </w:r>
          </w:p>
        </w:tc>
      </w:tr>
      <w:tr>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7"/>
              </w:rPr>
              <w:t>Form submission</w:t>
            </w:r>
          </w:p>
        </w:tc>
        <w:tc>
          <w:tcPr>
            <w:tcW w:type="dxa" w:w="6840"/>
            <w:vAlign w:val="center"/>
            <w:tcMar>
              <w:top w:w="75" w:type="dxa"/>
              <w:start w:w="110" w:type="dxa"/>
              <w:bottom w:w="75" w:type="dxa"/>
              <w:end w:w="110" w:type="dxa"/>
            </w:tcMar>
          </w:tcPr>
          <w:p>
            <w:pPr>
              <w:spacing w:after="0" w:line="240" w:lineRule="auto"/>
            </w:pPr>
            <w:r/>
            <w:r>
              <w:rPr>
                <w:rFonts w:ascii="Calibri" w:hAnsi="Calibri"/>
                <w:b w:val="0"/>
                <w:color w:val="000000"/>
                <w:sz w:val="17"/>
              </w:rPr>
              <w:t>Template/schema version, answers, attachments, consent, submitter/token, timestamps, idempotency and workflow outcome</w:t>
            </w:r>
          </w:p>
        </w:tc>
      </w:tr>
      <w:tr>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7"/>
              </w:rPr>
              <w:t>Survey response</w:t>
            </w:r>
          </w:p>
        </w:tc>
        <w:tc>
          <w:tcPr>
            <w:tcW w:type="dxa" w:w="6840"/>
            <w:vAlign w:val="center"/>
            <w:tcMar>
              <w:top w:w="75" w:type="dxa"/>
              <w:start w:w="110" w:type="dxa"/>
              <w:bottom w:w="75" w:type="dxa"/>
              <w:end w:w="110" w:type="dxa"/>
            </w:tcMar>
          </w:tcPr>
          <w:p>
            <w:pPr>
              <w:spacing w:after="0" w:line="240" w:lineRule="auto"/>
            </w:pPr>
            <w:r/>
            <w:r>
              <w:rPr>
                <w:rFonts w:ascii="Calibri" w:hAnsi="Calibri"/>
                <w:b w:val="0"/>
                <w:color w:val="000000"/>
                <w:sz w:val="17"/>
              </w:rPr>
              <w:t>Template/scoring version, answers, identity policy, calculated result and timestamps</w:t>
            </w:r>
          </w:p>
        </w:tc>
      </w:tr>
    </w:tbl>
    <w:p>
      <w:pPr>
        <w:spacing w:after="20"/>
      </w:pPr>
    </w:p>
    <w:p>
      <w:pPr>
        <w:pStyle w:val="Heading1"/>
      </w:pPr>
      <w:r>
        <w:t>14. Permissions and segregation</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288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Permission family</w:t>
            </w:r>
          </w:p>
        </w:tc>
        <w:tc>
          <w:tcPr>
            <w:tcW w:type="dxa" w:w="633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Examples</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Template authoring</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template.view, create, edit_draft, duplicate, validate</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Controlled publication</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template.review, publish, assign, archive, restore</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Restricted capability</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template.asset.manage, template.custom_code</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Documents</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document.generate, view, regenerate, distribute</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Forms</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form.open, submit, submission.view, approve, export</w:t>
            </w:r>
          </w:p>
        </w:tc>
      </w:tr>
      <w:tr>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7"/>
              </w:rPr>
              <w:t>Surveys</w:t>
            </w:r>
          </w:p>
        </w:tc>
        <w:tc>
          <w:tcPr>
            <w:tcW w:type="dxa" w:w="6336"/>
            <w:vAlign w:val="center"/>
            <w:tcMar>
              <w:top w:w="75" w:type="dxa"/>
              <w:start w:w="110" w:type="dxa"/>
              <w:bottom w:w="75" w:type="dxa"/>
              <w:end w:w="110" w:type="dxa"/>
            </w:tcMar>
          </w:tcPr>
          <w:p>
            <w:pPr>
              <w:spacing w:after="0" w:line="240" w:lineRule="auto"/>
            </w:pPr>
            <w:r/>
            <w:r>
              <w:rPr>
                <w:rFonts w:ascii="Calibri" w:hAnsi="Calibri"/>
                <w:b w:val="0"/>
                <w:color w:val="000000"/>
                <w:sz w:val="17"/>
              </w:rPr>
              <w:t>survey.manage, respond, analyse, export</w:t>
            </w:r>
          </w:p>
        </w:tc>
      </w:tr>
    </w:tbl>
    <w:p>
      <w:pPr>
        <w:spacing w:after="20"/>
      </w:pPr>
    </w:p>
    <w:p>
      <w:pPr>
        <w:spacing w:after="100" w:line="259" w:lineRule="auto"/>
      </w:pPr>
      <w:r>
        <w:rPr>
          <w:rFonts w:ascii="Calibri" w:hAnsi="Calibri"/>
          <w:b w:val="0"/>
          <w:color w:val="000000"/>
          <w:sz w:val="20"/>
        </w:rPr>
        <w:t>Designer, Reviewer, Publisher and Assigner must be separately permissioned. Ordinary Sales, CRM or Accounting users do not receive publish or default-assignment permission automatically.</w:t>
      </w:r>
    </w:p>
    <w:p>
      <w:pPr>
        <w:pStyle w:val="Heading1"/>
      </w:pPr>
      <w:r>
        <w:t>15. Security controls</w:t>
      </w:r>
    </w:p>
    <w:p>
      <w:pPr>
        <w:pStyle w:val="ListBullet"/>
        <w:spacing w:after="40" w:line="252" w:lineRule="auto"/>
      </w:pPr>
      <w:r>
        <w:rPr>
          <w:sz w:val="20"/>
        </w:rPr>
        <w:t>Tenant/entity isolation across templates, versions, assignments, assets, artifacts, links, submissions, responses, caches and jobs.</w:t>
      </w:r>
    </w:p>
    <w:p>
      <w:pPr>
        <w:pStyle w:val="ListBullet"/>
        <w:spacing w:after="40" w:line="252" w:lineRule="auto"/>
      </w:pPr>
      <w:r>
        <w:rPr>
          <w:sz w:val="20"/>
        </w:rPr>
        <w:t>Server-side HTML/CSS sanitisation; script/event-handler rejection; URL/protocol allowlist; SSRF and remote-resource protection.</w:t>
      </w:r>
    </w:p>
    <w:p>
      <w:pPr>
        <w:pStyle w:val="ListBullet"/>
        <w:spacing w:after="40" w:line="252" w:lineRule="auto"/>
      </w:pPr>
      <w:r>
        <w:rPr>
          <w:sz w:val="20"/>
        </w:rPr>
        <w:t>ADR-000 File Service for MIME validation, size/type limits, malware scanning, classification and access.</w:t>
      </w:r>
    </w:p>
    <w:p>
      <w:pPr>
        <w:pStyle w:val="ListBullet"/>
        <w:spacing w:after="40" w:line="252" w:lineRule="auto"/>
      </w:pPr>
      <w:r>
        <w:rPr>
          <w:sz w:val="20"/>
        </w:rPr>
        <w:t>Signed public tokens with scope, expiry, revocation, rate limiting, replay protection and abuse monitoring.</w:t>
      </w:r>
    </w:p>
    <w:p>
      <w:pPr>
        <w:pStyle w:val="ListBullet"/>
        <w:spacing w:after="40" w:line="252" w:lineRule="auto"/>
      </w:pPr>
      <w:r>
        <w:rPr>
          <w:sz w:val="20"/>
        </w:rPr>
        <w:t>Maximum template size, components, nesting, lines, payload, render time, memory, upload and response limits.</w:t>
      </w:r>
    </w:p>
    <w:p>
      <w:pPr>
        <w:pStyle w:val="ListBullet"/>
        <w:spacing w:after="40" w:line="252" w:lineRule="auto"/>
      </w:pPr>
      <w:r>
        <w:rPr>
          <w:sz w:val="20"/>
        </w:rPr>
        <w:t>Custom HTML/CSS disabled by default and privileged; arbitrary JavaScript, SQL and server-side code prohibited.</w:t>
      </w:r>
    </w:p>
    <w:p>
      <w:pPr>
        <w:pStyle w:val="Heading1"/>
      </w:pPr>
      <w:r>
        <w:t>16. Canonical errors</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460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Platform errors inherited from ADR-001</w:t>
            </w:r>
          </w:p>
        </w:tc>
        <w:tc>
          <w:tcPr>
            <w:tcW w:type="dxa" w:w="460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Template-specific errors</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TENANT_INACTIVE; SUBSCRIPTION_NOT_ENTITLED; MODULE_NOT_ENABLED</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TEMPLATE_TYPE_NOT_REGISTERED; TEMPLATE_NOT_PUBLISHED</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FEATURE_NOT_ENABLED; FEATURE_NOT_ENTITLED; ENTITLEMENT_EXPIRED</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TEMPLATE_NOT_ASSIGNED; TEMPLATE_RESOLUTION_AMBIGUOUS</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RUNTIME_MODE_INVALID; PERMISSION_DENIED; ENTITY_ACCESS_DENIED</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TEMPLATE_DEPENDENCY_UNAVAILABLE; TEMPLATE_VERSION_INCOMPATIBLE</w:t>
            </w:r>
          </w:p>
        </w:tc>
      </w:tr>
      <w:tr>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RECORD_ACCESS_DENIED; PRIVACY_RESTRICTED; APPROVAL_REQUIRED</w:t>
            </w:r>
          </w:p>
        </w:tc>
        <w:tc>
          <w:tcPr>
            <w:tcW w:type="dxa" w:w="4608"/>
            <w:vAlign w:val="center"/>
            <w:tcMar>
              <w:top w:w="75" w:type="dxa"/>
              <w:start w:w="110" w:type="dxa"/>
              <w:bottom w:w="75" w:type="dxa"/>
              <w:end w:w="110" w:type="dxa"/>
            </w:tcMar>
          </w:tcPr>
          <w:p>
            <w:pPr>
              <w:spacing w:after="0" w:line="240" w:lineRule="auto"/>
            </w:pPr>
            <w:r/>
            <w:r>
              <w:rPr>
                <w:rFonts w:ascii="Calibri" w:hAnsi="Calibri"/>
                <w:b w:val="0"/>
                <w:color w:val="000000"/>
                <w:sz w:val="16"/>
              </w:rPr>
              <w:t>TEMPLATE_VALIDATION_FAILED; TEMPLATE_CHANNEL_NOT_ALLOWED</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FFF2CC"/>
            <w:tcMar>
              <w:top w:w="75" w:type="dxa"/>
              <w:start w:w="110" w:type="dxa"/>
              <w:bottom w:w="75" w:type="dxa"/>
              <w:end w:w="110" w:type="dxa"/>
            </w:tcMar>
          </w:tcPr>
          <w:p>
            <w:pPr>
              <w:spacing w:after="0"/>
            </w:pPr>
            <w:r/>
            <w:r>
              <w:rPr>
                <w:b/>
                <w:color w:val="17365D"/>
                <w:sz w:val="20"/>
              </w:rPr>
              <w:t xml:space="preserve">Error rule: </w:t>
            </w:r>
            <w:r>
              <w:rPr>
                <w:sz w:val="20"/>
              </w:rPr>
              <w:t>Do not introduce FEATURE_DISABLED, ACCESS_DENIED or other aliases when a canonical ADR-001 error already exists. One platform catalogue must define HTTP status, safe message, retryability, audit level and UI action.</w:t>
            </w:r>
          </w:p>
        </w:tc>
      </w:tr>
    </w:tbl>
    <w:p>
      <w:pPr>
        <w:spacing w:after="20"/>
      </w:pPr>
    </w:p>
    <w:p>
      <w:pPr>
        <w:pStyle w:val="Heading1"/>
      </w:pPr>
      <w:r>
        <w:t>17. Delivery gates</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3293"/>
        <w:gridCol w:w="3293"/>
        <w:gridCol w:w="3293"/>
      </w:tblGrid>
      <w:tr>
        <w:trPr>
          <w:tblHeader w:val="true"/>
        </w:trPr>
        <w:tc>
          <w:tcPr>
            <w:tcW w:type="dxa" w:w="93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Gate</w:t>
            </w:r>
          </w:p>
        </w:tc>
        <w:tc>
          <w:tcPr>
            <w:tcW w:type="dxa" w:w="288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Deliverable</w:t>
            </w:r>
          </w:p>
        </w:tc>
        <w:tc>
          <w:tcPr>
            <w:tcW w:type="dxa" w:w="540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Exit condition</w:t>
            </w:r>
          </w:p>
        </w:tc>
      </w:tr>
      <w:tr>
        <w:tc>
          <w:tcPr>
            <w:tcW w:type="dxa" w:w="936"/>
            <w:vAlign w:val="center"/>
            <w:tcMar>
              <w:top w:w="75" w:type="dxa"/>
              <w:start w:w="110" w:type="dxa"/>
              <w:bottom w:w="75" w:type="dxa"/>
              <w:end w:w="110" w:type="dxa"/>
            </w:tcMar>
          </w:tcPr>
          <w:p>
            <w:pPr>
              <w:spacing w:after="0" w:line="240" w:lineRule="auto"/>
            </w:pPr>
            <w:r/>
            <w:r>
              <w:rPr>
                <w:rFonts w:ascii="Calibri" w:hAnsi="Calibri"/>
                <w:b w:val="0"/>
                <w:color w:val="000000"/>
                <w:sz w:val="16"/>
              </w:rPr>
              <w:t>G0</w:t>
            </w:r>
          </w:p>
        </w:tc>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6"/>
              </w:rPr>
              <w:t>Numbering and contract reconciliation</w:t>
            </w:r>
          </w:p>
        </w:tc>
        <w:tc>
          <w:tcPr>
            <w:tcW w:type="dxa" w:w="5400"/>
            <w:vAlign w:val="center"/>
            <w:tcMar>
              <w:top w:w="75" w:type="dxa"/>
              <w:start w:w="110" w:type="dxa"/>
              <w:bottom w:w="75" w:type="dxa"/>
              <w:end w:w="110" w:type="dxa"/>
            </w:tcMar>
          </w:tcPr>
          <w:p>
            <w:pPr>
              <w:spacing w:after="0" w:line="240" w:lineRule="auto"/>
            </w:pPr>
            <w:r/>
            <w:r>
              <w:rPr>
                <w:rFonts w:ascii="Calibri" w:hAnsi="Calibri"/>
                <w:b w:val="0"/>
                <w:color w:val="000000"/>
                <w:sz w:val="16"/>
              </w:rPr>
              <w:t>ADR-003 canonical Contact reference, service boundary map and errors approved</w:t>
            </w:r>
          </w:p>
        </w:tc>
      </w:tr>
      <w:tr>
        <w:tc>
          <w:tcPr>
            <w:tcW w:type="dxa" w:w="936"/>
            <w:vAlign w:val="center"/>
            <w:tcMar>
              <w:top w:w="75" w:type="dxa"/>
              <w:start w:w="110" w:type="dxa"/>
              <w:bottom w:w="75" w:type="dxa"/>
              <w:end w:w="110" w:type="dxa"/>
            </w:tcMar>
          </w:tcPr>
          <w:p>
            <w:pPr>
              <w:spacing w:after="0" w:line="240" w:lineRule="auto"/>
            </w:pPr>
            <w:r/>
            <w:r>
              <w:rPr>
                <w:rFonts w:ascii="Calibri" w:hAnsi="Calibri"/>
                <w:b w:val="0"/>
                <w:color w:val="000000"/>
                <w:sz w:val="16"/>
              </w:rPr>
              <w:t>G1</w:t>
            </w:r>
          </w:p>
        </w:tc>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6"/>
              </w:rPr>
              <w:t>Shared registry/lifecycle</w:t>
            </w:r>
          </w:p>
        </w:tc>
        <w:tc>
          <w:tcPr>
            <w:tcW w:type="dxa" w:w="5400"/>
            <w:vAlign w:val="center"/>
            <w:tcMar>
              <w:top w:w="75" w:type="dxa"/>
              <w:start w:w="110" w:type="dxa"/>
              <w:bottom w:w="75" w:type="dxa"/>
              <w:end w:w="110" w:type="dxa"/>
            </w:tcMar>
          </w:tcPr>
          <w:p>
            <w:pPr>
              <w:spacing w:after="0" w:line="240" w:lineRule="auto"/>
            </w:pPr>
            <w:r/>
            <w:r>
              <w:rPr>
                <w:rFonts w:ascii="Calibri" w:hAnsi="Calibri"/>
                <w:b w:val="0"/>
                <w:color w:val="000000"/>
                <w:sz w:val="16"/>
              </w:rPr>
              <w:t>ADR-001 guards, #52 registry, versioning, assignment and audit accepted</w:t>
            </w:r>
          </w:p>
        </w:tc>
      </w:tr>
      <w:tr>
        <w:tc>
          <w:tcPr>
            <w:tcW w:type="dxa" w:w="936"/>
            <w:vAlign w:val="center"/>
            <w:tcMar>
              <w:top w:w="75" w:type="dxa"/>
              <w:start w:w="110" w:type="dxa"/>
              <w:bottom w:w="75" w:type="dxa"/>
              <w:end w:w="110" w:type="dxa"/>
            </w:tcMar>
          </w:tcPr>
          <w:p>
            <w:pPr>
              <w:spacing w:after="0" w:line="240" w:lineRule="auto"/>
            </w:pPr>
            <w:r/>
            <w:r>
              <w:rPr>
                <w:rFonts w:ascii="Calibri" w:hAnsi="Calibri"/>
                <w:b w:val="0"/>
                <w:color w:val="000000"/>
                <w:sz w:val="16"/>
              </w:rPr>
              <w:t>G2</w:t>
            </w:r>
          </w:p>
        </w:tc>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6"/>
              </w:rPr>
              <w:t>Sales/CRM reference templates</w:t>
            </w:r>
          </w:p>
        </w:tc>
        <w:tc>
          <w:tcPr>
            <w:tcW w:type="dxa" w:w="5400"/>
            <w:vAlign w:val="center"/>
            <w:tcMar>
              <w:top w:w="75" w:type="dxa"/>
              <w:start w:w="110" w:type="dxa"/>
              <w:bottom w:w="75" w:type="dxa"/>
              <w:end w:w="110" w:type="dxa"/>
            </w:tcMar>
          </w:tcPr>
          <w:p>
            <w:pPr>
              <w:spacing w:after="0" w:line="240" w:lineRule="auto"/>
            </w:pPr>
            <w:r/>
            <w:r>
              <w:rPr>
                <w:rFonts w:ascii="Calibri" w:hAnsi="Calibri"/>
                <w:b w:val="0"/>
                <w:color w:val="000000"/>
                <w:sz w:val="16"/>
              </w:rPr>
              <w:t>Quotation, lead/customer form and satisfaction survey accepted</w:t>
            </w:r>
          </w:p>
        </w:tc>
      </w:tr>
      <w:tr>
        <w:tc>
          <w:tcPr>
            <w:tcW w:type="dxa" w:w="936"/>
            <w:vAlign w:val="center"/>
            <w:tcMar>
              <w:top w:w="75" w:type="dxa"/>
              <w:start w:w="110" w:type="dxa"/>
              <w:bottom w:w="75" w:type="dxa"/>
              <w:end w:w="110" w:type="dxa"/>
            </w:tcMar>
          </w:tcPr>
          <w:p>
            <w:pPr>
              <w:spacing w:after="0" w:line="240" w:lineRule="auto"/>
            </w:pPr>
            <w:r/>
            <w:r>
              <w:rPr>
                <w:rFonts w:ascii="Calibri" w:hAnsi="Calibri"/>
                <w:b w:val="0"/>
                <w:color w:val="000000"/>
                <w:sz w:val="16"/>
              </w:rPr>
              <w:t>G3</w:t>
            </w:r>
          </w:p>
        </w:tc>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6"/>
              </w:rPr>
              <w:t>Accounting reference templates</w:t>
            </w:r>
          </w:p>
        </w:tc>
        <w:tc>
          <w:tcPr>
            <w:tcW w:type="dxa" w:w="5400"/>
            <w:vAlign w:val="center"/>
            <w:tcMar>
              <w:top w:w="75" w:type="dxa"/>
              <w:start w:w="110" w:type="dxa"/>
              <w:bottom w:w="75" w:type="dxa"/>
              <w:end w:w="110" w:type="dxa"/>
            </w:tcMar>
          </w:tcPr>
          <w:p>
            <w:pPr>
              <w:spacing w:after="0" w:line="240" w:lineRule="auto"/>
            </w:pPr>
            <w:r/>
            <w:r>
              <w:rPr>
                <w:rFonts w:ascii="Calibri" w:hAnsi="Calibri"/>
                <w:b w:val="0"/>
                <w:color w:val="000000"/>
                <w:sz w:val="16"/>
              </w:rPr>
              <w:t>Invoice, credit note, receipt and statement outputs accepted</w:t>
            </w:r>
          </w:p>
        </w:tc>
      </w:tr>
      <w:tr>
        <w:tc>
          <w:tcPr>
            <w:tcW w:type="dxa" w:w="936"/>
            <w:vAlign w:val="center"/>
            <w:tcMar>
              <w:top w:w="75" w:type="dxa"/>
              <w:start w:w="110" w:type="dxa"/>
              <w:bottom w:w="75" w:type="dxa"/>
              <w:end w:w="110" w:type="dxa"/>
            </w:tcMar>
          </w:tcPr>
          <w:p>
            <w:pPr>
              <w:spacing w:after="0" w:line="240" w:lineRule="auto"/>
            </w:pPr>
            <w:r/>
            <w:r>
              <w:rPr>
                <w:rFonts w:ascii="Calibri" w:hAnsi="Calibri"/>
                <w:b w:val="0"/>
                <w:color w:val="000000"/>
                <w:sz w:val="16"/>
              </w:rPr>
              <w:t>G4</w:t>
            </w:r>
          </w:p>
        </w:tc>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6"/>
              </w:rPr>
              <w:t>Form/survey runtime</w:t>
            </w:r>
          </w:p>
        </w:tc>
        <w:tc>
          <w:tcPr>
            <w:tcW w:type="dxa" w:w="5400"/>
            <w:vAlign w:val="center"/>
            <w:tcMar>
              <w:top w:w="75" w:type="dxa"/>
              <w:start w:w="110" w:type="dxa"/>
              <w:bottom w:w="75" w:type="dxa"/>
              <w:end w:w="110" w:type="dxa"/>
            </w:tcMar>
          </w:tcPr>
          <w:p>
            <w:pPr>
              <w:spacing w:after="0" w:line="240" w:lineRule="auto"/>
            </w:pPr>
            <w:r/>
            <w:r>
              <w:rPr>
                <w:rFonts w:ascii="Calibri" w:hAnsi="Calibri"/>
                <w:b w:val="0"/>
                <w:color w:val="000000"/>
                <w:sz w:val="16"/>
              </w:rPr>
              <w:t>Server validation, public/auth access, workflow mapping, branching/scoring accepted</w:t>
            </w:r>
          </w:p>
        </w:tc>
      </w:tr>
      <w:tr>
        <w:tc>
          <w:tcPr>
            <w:tcW w:type="dxa" w:w="936"/>
            <w:vAlign w:val="center"/>
            <w:tcMar>
              <w:top w:w="75" w:type="dxa"/>
              <w:start w:w="110" w:type="dxa"/>
              <w:bottom w:w="75" w:type="dxa"/>
              <w:end w:w="110" w:type="dxa"/>
            </w:tcMar>
          </w:tcPr>
          <w:p>
            <w:pPr>
              <w:spacing w:after="0" w:line="240" w:lineRule="auto"/>
            </w:pPr>
            <w:r/>
            <w:r>
              <w:rPr>
                <w:rFonts w:ascii="Calibri" w:hAnsi="Calibri"/>
                <w:b w:val="0"/>
                <w:color w:val="000000"/>
                <w:sz w:val="16"/>
              </w:rPr>
              <w:t>G5</w:t>
            </w:r>
          </w:p>
        </w:tc>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6"/>
              </w:rPr>
              <w:t>Hardening</w:t>
            </w:r>
          </w:p>
        </w:tc>
        <w:tc>
          <w:tcPr>
            <w:tcW w:type="dxa" w:w="5400"/>
            <w:vAlign w:val="center"/>
            <w:tcMar>
              <w:top w:w="75" w:type="dxa"/>
              <w:start w:w="110" w:type="dxa"/>
              <w:bottom w:w="75" w:type="dxa"/>
              <w:end w:w="110" w:type="dxa"/>
            </w:tcMar>
          </w:tcPr>
          <w:p>
            <w:pPr>
              <w:spacing w:after="0" w:line="240" w:lineRule="auto"/>
            </w:pPr>
            <w:r/>
            <w:r>
              <w:rPr>
                <w:rFonts w:ascii="Calibri" w:hAnsi="Calibri"/>
                <w:b w:val="0"/>
                <w:color w:val="000000"/>
                <w:sz w:val="16"/>
              </w:rPr>
              <w:t>Isolation, security, load, accessibility, localisation, recovery and rollback accepted</w:t>
            </w:r>
          </w:p>
        </w:tc>
      </w:tr>
      <w:tr>
        <w:tc>
          <w:tcPr>
            <w:tcW w:type="dxa" w:w="936"/>
            <w:vAlign w:val="center"/>
            <w:tcMar>
              <w:top w:w="75" w:type="dxa"/>
              <w:start w:w="110" w:type="dxa"/>
              <w:bottom w:w="75" w:type="dxa"/>
              <w:end w:w="110" w:type="dxa"/>
            </w:tcMar>
          </w:tcPr>
          <w:p>
            <w:pPr>
              <w:spacing w:after="0" w:line="240" w:lineRule="auto"/>
            </w:pPr>
            <w:r/>
            <w:r>
              <w:rPr>
                <w:rFonts w:ascii="Calibri" w:hAnsi="Calibri"/>
                <w:b w:val="0"/>
                <w:color w:val="000000"/>
                <w:sz w:val="16"/>
              </w:rPr>
              <w:t>G6</w:t>
            </w:r>
          </w:p>
        </w:tc>
        <w:tc>
          <w:tcPr>
            <w:tcW w:type="dxa" w:w="2880"/>
            <w:vAlign w:val="center"/>
            <w:tcMar>
              <w:top w:w="75" w:type="dxa"/>
              <w:start w:w="110" w:type="dxa"/>
              <w:bottom w:w="75" w:type="dxa"/>
              <w:end w:w="110" w:type="dxa"/>
            </w:tcMar>
          </w:tcPr>
          <w:p>
            <w:pPr>
              <w:spacing w:after="0" w:line="240" w:lineRule="auto"/>
            </w:pPr>
            <w:r/>
            <w:r>
              <w:rPr>
                <w:rFonts w:ascii="Calibri" w:hAnsi="Calibri"/>
                <w:b w:val="0"/>
                <w:color w:val="000000"/>
                <w:sz w:val="16"/>
              </w:rPr>
              <w:t>Controlled production</w:t>
            </w:r>
          </w:p>
        </w:tc>
        <w:tc>
          <w:tcPr>
            <w:tcW w:type="dxa" w:w="5400"/>
            <w:vAlign w:val="center"/>
            <w:tcMar>
              <w:top w:w="75" w:type="dxa"/>
              <w:start w:w="110" w:type="dxa"/>
              <w:bottom w:w="75" w:type="dxa"/>
              <w:end w:w="110" w:type="dxa"/>
            </w:tcMar>
          </w:tcPr>
          <w:p>
            <w:pPr>
              <w:spacing w:after="0" w:line="240" w:lineRule="auto"/>
            </w:pPr>
            <w:r/>
            <w:r>
              <w:rPr>
                <w:rFonts w:ascii="Calibri" w:hAnsi="Calibri"/>
                <w:b w:val="0"/>
                <w:color w:val="000000"/>
                <w:sz w:val="16"/>
              </w:rPr>
              <w:t>Tenant activation, monitoring and production verification accepted</w:t>
            </w:r>
          </w:p>
        </w:tc>
      </w:tr>
    </w:tbl>
    <w:p>
      <w:pPr>
        <w:spacing w:after="20"/>
      </w:pPr>
    </w:p>
    <w:p>
      <w:r>
        <w:br w:type="page"/>
      </w:r>
    </w:p>
    <w:p>
      <w:pPr>
        <w:pStyle w:val="Heading1"/>
      </w:pPr>
      <w:r>
        <w:t>18. Mandatory current-scope acceptance scenarios</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3293"/>
        <w:gridCol w:w="3293"/>
        <w:gridCol w:w="3293"/>
      </w:tblGrid>
      <w:tr>
        <w:trPr>
          <w:tblHeader w:val="true"/>
        </w:trPr>
        <w:tc>
          <w:tcPr>
            <w:tcW w:type="dxa" w:w="1152"/>
            <w:vAlign w:val="center"/>
            <w:tcMar>
              <w:top w:w="75" w:type="dxa"/>
              <w:start w:w="110" w:type="dxa"/>
              <w:bottom w:w="75" w:type="dxa"/>
              <w:end w:w="110" w:type="dxa"/>
            </w:tcMar>
            <w:shd w:fill="1F4E78"/>
          </w:tcPr>
          <w:p>
            <w:pPr>
              <w:spacing w:after="0" w:line="240" w:lineRule="auto"/>
            </w:pPr>
            <w:r/>
            <w:r>
              <w:rPr>
                <w:rFonts w:ascii="Calibri" w:hAnsi="Calibri"/>
                <w:b/>
                <w:color w:val="FFFFFF"/>
                <w:sz w:val="17"/>
              </w:rPr>
              <w:t>ID</w:t>
            </w:r>
          </w:p>
        </w:tc>
        <w:tc>
          <w:tcPr>
            <w:tcW w:type="dxa" w:w="237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Scenario</w:t>
            </w:r>
          </w:p>
        </w:tc>
        <w:tc>
          <w:tcPr>
            <w:tcW w:type="dxa" w:w="5688"/>
            <w:vAlign w:val="center"/>
            <w:tcMar>
              <w:top w:w="75" w:type="dxa"/>
              <w:start w:w="110" w:type="dxa"/>
              <w:bottom w:w="75" w:type="dxa"/>
              <w:end w:w="110" w:type="dxa"/>
            </w:tcMar>
            <w:shd w:fill="1F4E78"/>
          </w:tcPr>
          <w:p>
            <w:pPr>
              <w:spacing w:after="0" w:line="240" w:lineRule="auto"/>
            </w:pPr>
            <w:r/>
            <w:r>
              <w:rPr>
                <w:rFonts w:ascii="Calibri" w:hAnsi="Calibri"/>
                <w:b/>
                <w:color w:val="FFFFFF"/>
                <w:sz w:val="17"/>
              </w:rPr>
              <w:t>Mandatory proof</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A-SAL-01</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Quotation lifecycle</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Create draft template, preview realistic quotation, review/publish/assign, generate PDF; v2 affects only new outputs</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A-CRM-01</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Customer onboarding form</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Consent, conditional fields, duplicate check, idempotent lead/contact command, rejection and audit</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A-CRM-02</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Service/sales satisfaction survey</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Public/auth identity policy, NPS/rating, branching, limits, scoring, analysis and v1 history after v2</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A-ACC-01</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Posted invoice</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100 lines, tax/discount/rounding, Unicode, multi-page, immutable original and permission-safe access</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A-ACC-02</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Credit note and receipt</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Correct source relationship, approved values, numbering, original artifact and audit</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A-ACC-03</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Customer statement</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Permission-safe report source, date range, ageing/transactions, pagination and export policy</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A-XCUT-01</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Entitlement and module isolation</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Different tenants/modules/entitlements see and execute only permitted types</w:t>
            </w:r>
          </w:p>
        </w:tc>
      </w:tr>
      <w:tr>
        <w:tc>
          <w:tcPr>
            <w:tcW w:type="dxa" w:w="1152"/>
            <w:vAlign w:val="center"/>
            <w:tcMar>
              <w:top w:w="75" w:type="dxa"/>
              <w:start w:w="110" w:type="dxa"/>
              <w:bottom w:w="75" w:type="dxa"/>
              <w:end w:w="110" w:type="dxa"/>
            </w:tcMar>
          </w:tcPr>
          <w:p>
            <w:pPr>
              <w:spacing w:after="0" w:line="240" w:lineRule="auto"/>
            </w:pPr>
            <w:r/>
            <w:r>
              <w:rPr>
                <w:rFonts w:ascii="Calibri" w:hAnsi="Calibri"/>
                <w:b w:val="0"/>
                <w:color w:val="000000"/>
                <w:sz w:val="16"/>
              </w:rPr>
              <w:t>A-XCUT-02</w:t>
            </w:r>
          </w:p>
        </w:tc>
        <w:tc>
          <w:tcPr>
            <w:tcW w:type="dxa" w:w="2376"/>
            <w:vAlign w:val="center"/>
            <w:tcMar>
              <w:top w:w="75" w:type="dxa"/>
              <w:start w:w="110" w:type="dxa"/>
              <w:bottom w:w="75" w:type="dxa"/>
              <w:end w:w="110" w:type="dxa"/>
            </w:tcMar>
          </w:tcPr>
          <w:p>
            <w:pPr>
              <w:spacing w:after="0" w:line="240" w:lineRule="auto"/>
            </w:pPr>
            <w:r/>
            <w:r>
              <w:rPr>
                <w:rFonts w:ascii="Calibri" w:hAnsi="Calibri"/>
                <w:b w:val="0"/>
                <w:color w:val="000000"/>
                <w:sz w:val="16"/>
              </w:rPr>
              <w:t>Assignment resolution</w:t>
            </w:r>
          </w:p>
        </w:tc>
        <w:tc>
          <w:tcPr>
            <w:tcW w:type="dxa" w:w="5688"/>
            <w:vAlign w:val="center"/>
            <w:tcMar>
              <w:top w:w="75" w:type="dxa"/>
              <w:start w:w="110" w:type="dxa"/>
              <w:bottom w:w="75" w:type="dxa"/>
              <w:end w:w="110" w:type="dxa"/>
            </w:tcMar>
          </w:tcPr>
          <w:p>
            <w:pPr>
              <w:spacing w:after="0" w:line="240" w:lineRule="auto"/>
            </w:pPr>
            <w:r/>
            <w:r>
              <w:rPr>
                <w:rFonts w:ascii="Calibri" w:hAnsi="Calibri"/>
                <w:b w:val="0"/>
                <w:color w:val="000000"/>
                <w:sz w:val="16"/>
              </w:rPr>
              <w:t>Entity/language/currency conflict, no match, tie and incompatible fallback behave deterministically</w:t>
            </w:r>
          </w:p>
        </w:tc>
      </w:tr>
    </w:tbl>
    <w:p>
      <w:pPr>
        <w:spacing w:after="20"/>
      </w:pPr>
    </w:p>
    <w:p>
      <w:pPr>
        <w:pStyle w:val="Heading1"/>
      </w:pPr>
      <w:r>
        <w:t>19. Mandatory negative paths</w:t>
      </w:r>
    </w:p>
    <w:tbl>
      <w:tblPr>
        <w:tblW w:type="auto" w:w="0"/>
        <w:jc w:val="center"/>
        <w:tblLayout w:type="fixed"/>
        <w:tblLook w:firstColumn="1" w:firstRow="1" w:lastColumn="0" w:lastRow="0" w:noHBand="0" w:noVBand="1" w:val="04A0"/>
        <w:tblBorders>
          <w:top w:val="single" w:sz="4" w:color="B7C9DB"/>
          <w:left w:val="single" w:sz="4" w:color="B7C9DB"/>
          <w:bottom w:val="single" w:sz="4" w:color="B7C9DB"/>
          <w:right w:val="single" w:sz="4" w:color="B7C9DB"/>
          <w:insideH w:val="single" w:sz="4" w:color="B7C9DB"/>
          <w:insideV w:val="single" w:sz="4" w:color="B7C9DB"/>
        </w:tblBorders>
      </w:tblPr>
      <w:tblGrid>
        <w:gridCol w:w="4939"/>
        <w:gridCol w:w="4939"/>
      </w:tblGrid>
      <w:tr>
        <w:trPr>
          <w:tblHeader w:val="true"/>
        </w:trPr>
        <w:tc>
          <w:tcPr>
            <w:tcW w:type="dxa" w:w="3960"/>
            <w:vAlign w:val="center"/>
            <w:tcMar>
              <w:top w:w="75" w:type="dxa"/>
              <w:start w:w="110" w:type="dxa"/>
              <w:bottom w:w="75" w:type="dxa"/>
              <w:end w:w="110" w:type="dxa"/>
            </w:tcMar>
            <w:shd w:fill="1F4E78"/>
          </w:tcPr>
          <w:p>
            <w:pPr>
              <w:spacing w:after="0" w:line="240" w:lineRule="auto"/>
            </w:pPr>
            <w:r/>
            <w:r>
              <w:rPr>
                <w:rFonts w:ascii="Calibri" w:hAnsi="Calibri"/>
                <w:b/>
                <w:color w:val="FFFFFF"/>
                <w:sz w:val="17"/>
              </w:rPr>
              <w:t>Failure/attack</w:t>
            </w:r>
          </w:p>
        </w:tc>
        <w:tc>
          <w:tcPr>
            <w:tcW w:type="dxa" w:w="5256"/>
            <w:vAlign w:val="center"/>
            <w:tcMar>
              <w:top w:w="75" w:type="dxa"/>
              <w:start w:w="110" w:type="dxa"/>
              <w:bottom w:w="75" w:type="dxa"/>
              <w:end w:w="110" w:type="dxa"/>
            </w:tcMar>
            <w:shd w:fill="1F4E78"/>
          </w:tcPr>
          <w:p>
            <w:pPr>
              <w:spacing w:after="0" w:line="240" w:lineRule="auto"/>
            </w:pPr>
            <w:r/>
            <w:r>
              <w:rPr>
                <w:rFonts w:ascii="Calibri" w:hAnsi="Calibri"/>
                <w:b/>
                <w:color w:val="FFFFFF"/>
                <w:sz w:val="17"/>
              </w:rPr>
              <w:t>Expected result</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Legacy ADR-002 Contact identifier used in new registry/evidence</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Architecture conformance failure; require ADR-003 canonical reference</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Inactive tenant/module or missing/expired entitlement</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Rejected using canonical platform error; no render/submission record except denial audit</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Cross-tenant template, contact, asset, artifact or response access</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Rejected with no existence/data leakage; security audit recorded</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Unknown/restricted merge field or direct ledger table query</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Publish/render rejected; no sensitive data exposed</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Form attempts arbitrary database write or duplicate replay</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Rejected or safe idempotent result; no duplicate domain record</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Script, event handler, malicious CSS/SVG or remote URL</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Rejected/sanitised; no execution or outbound request</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Concurrent edit/publish or stale version</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Conflict detected; no silent overwrite or duplicate publication</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Oversized asset/table/nesting or render timeout</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Controlled resource-limit error; worker and tenant remain healthy</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Draft used for issued accounting output</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Blocked or explicit non-issued watermarked preview only</w:t>
            </w:r>
          </w:p>
        </w:tc>
      </w:tr>
      <w:tr>
        <w:tc>
          <w:tcPr>
            <w:tcW w:type="dxa" w:w="3960"/>
            <w:vAlign w:val="center"/>
            <w:tcMar>
              <w:top w:w="75" w:type="dxa"/>
              <w:start w:w="110" w:type="dxa"/>
              <w:bottom w:w="75" w:type="dxa"/>
              <w:end w:w="110" w:type="dxa"/>
            </w:tcMar>
          </w:tcPr>
          <w:p>
            <w:pPr>
              <w:spacing w:after="0" w:line="240" w:lineRule="auto"/>
            </w:pPr>
            <w:r/>
            <w:r>
              <w:rPr>
                <w:rFonts w:ascii="Calibri" w:hAnsi="Calibri"/>
                <w:b w:val="0"/>
                <w:color w:val="000000"/>
                <w:sz w:val="16"/>
              </w:rPr>
              <w:t>Template/Contact data changes after issue</w:t>
            </w:r>
          </w:p>
        </w:tc>
        <w:tc>
          <w:tcPr>
            <w:tcW w:type="dxa" w:w="5256"/>
            <w:vAlign w:val="center"/>
            <w:tcMar>
              <w:top w:w="75" w:type="dxa"/>
              <w:start w:w="110" w:type="dxa"/>
              <w:bottom w:w="75" w:type="dxa"/>
              <w:end w:w="110" w:type="dxa"/>
            </w:tcMar>
          </w:tcPr>
          <w:p>
            <w:pPr>
              <w:spacing w:after="0" w:line="240" w:lineRule="auto"/>
            </w:pPr>
            <w:r/>
            <w:r>
              <w:rPr>
                <w:rFonts w:ascii="Calibri" w:hAnsi="Calibri"/>
                <w:b w:val="0"/>
                <w:color w:val="000000"/>
                <w:sz w:val="16"/>
              </w:rPr>
              <w:t>Historical artifact and snapshot remain unchanged</w:t>
            </w:r>
          </w:p>
        </w:tc>
      </w:tr>
    </w:tbl>
    <w:p>
      <w:pPr>
        <w:spacing w:after="20"/>
      </w:pPr>
    </w:p>
    <w:p>
      <w:pPr>
        <w:pStyle w:val="Heading1"/>
      </w:pPr>
      <w:r>
        <w:t>20. Evidence pack</w:t>
      </w:r>
    </w:p>
    <w:p>
      <w:pPr>
        <w:pStyle w:val="ListBullet"/>
        <w:spacing w:after="40" w:line="252" w:lineRule="auto"/>
      </w:pPr>
      <w:r>
        <w:rPr>
          <w:sz w:val="20"/>
        </w:rPr>
        <w:t>Canonical ADR/service references, module contract, stable codes and dependency declarations.</w:t>
      </w:r>
    </w:p>
    <w:p>
      <w:pPr>
        <w:pStyle w:val="ListBullet"/>
        <w:spacing w:after="40" w:line="252" w:lineRule="auto"/>
      </w:pPr>
      <w:r>
        <w:rPr>
          <w:sz w:val="20"/>
        </w:rPr>
        <w:t>Commit IDs, changed files, migrations, rollback, schema/index and deployment version.</w:t>
      </w:r>
    </w:p>
    <w:p>
      <w:pPr>
        <w:pStyle w:val="ListBullet"/>
        <w:spacing w:after="40" w:line="252" w:lineRule="auto"/>
      </w:pPr>
      <w:r>
        <w:rPr>
          <w:sz w:val="20"/>
        </w:rPr>
        <w:t>Complete API contracts and samples for success, validation, permission, entitlement and system failures.</w:t>
      </w:r>
    </w:p>
    <w:p>
      <w:pPr>
        <w:pStyle w:val="ListBullet"/>
        <w:spacing w:after="40" w:line="252" w:lineRule="auto"/>
      </w:pPr>
      <w:r>
        <w:rPr>
          <w:sz w:val="20"/>
        </w:rPr>
        <w:t>Automated backend, frontend, integration and browser tests with complete failure inventory.</w:t>
      </w:r>
    </w:p>
    <w:p>
      <w:pPr>
        <w:pStyle w:val="ListBullet"/>
        <w:spacing w:after="40" w:line="252" w:lineRule="auto"/>
      </w:pPr>
      <w:r>
        <w:rPr>
          <w:sz w:val="20"/>
        </w:rPr>
        <w:t>Tenant/entity/contact isolation, restricted-field, entitlement bypass and security test evidence.</w:t>
      </w:r>
    </w:p>
    <w:p>
      <w:pPr>
        <w:pStyle w:val="ListBullet"/>
        <w:spacing w:after="40" w:line="252" w:lineRule="auto"/>
      </w:pPr>
      <w:r>
        <w:rPr>
          <w:sz w:val="20"/>
        </w:rPr>
        <w:t>Reference PDFs and preview-to-production comparisons; form/survey request/response and resulting domain records.</w:t>
      </w:r>
    </w:p>
    <w:p>
      <w:pPr>
        <w:pStyle w:val="ListBullet"/>
        <w:spacing w:after="40" w:line="252" w:lineRule="auto"/>
      </w:pPr>
      <w:r>
        <w:rPr>
          <w:sz w:val="20"/>
        </w:rPr>
        <w:t>Audit events for create, review, publish, assign, generate, submit, entitlement change, archive and restore.</w:t>
      </w:r>
    </w:p>
    <w:p>
      <w:pPr>
        <w:pStyle w:val="ListBullet"/>
        <w:spacing w:after="40" w:line="252" w:lineRule="auto"/>
      </w:pPr>
      <w:r>
        <w:rPr>
          <w:sz w:val="20"/>
        </w:rPr>
        <w:t>Performance, resource limit, accessibility, localisation, monitoring, recovery and rollback evidence.</w:t>
      </w:r>
    </w:p>
    <w:p>
      <w:pPr>
        <w:pStyle w:val="ListBullet"/>
        <w:spacing w:after="40" w:line="252" w:lineRule="auto"/>
      </w:pPr>
      <w:r>
        <w:rPr>
          <w:sz w:val="20"/>
        </w:rPr>
        <w:t>Known defects/limitations with owner, severity and target date.</w:t>
      </w:r>
    </w:p>
    <w:p>
      <w:pPr>
        <w:pStyle w:val="Heading1"/>
      </w:pPr>
      <w:r>
        <w:t>21. Engineer implementation instruction</w:t>
      </w:r>
    </w:p>
    <w:p>
      <w:pPr>
        <w:spacing w:after="60" w:line="259" w:lineRule="auto"/>
      </w:pPr>
      <w:r>
        <w:rPr>
          <w:rFonts w:ascii="Calibri" w:hAnsi="Calibri"/>
          <w:b w:val="0"/>
          <w:color w:val="000000"/>
          <w:sz w:val="20"/>
        </w:rPr>
        <w:t>1.  Record ADR-004 as the Universal Template Platform. Do not rename or overwrite ADR-003 Contact Master.</w:t>
      </w:r>
    </w:p>
    <w:p>
      <w:pPr>
        <w:spacing w:after="60" w:line="259" w:lineRule="auto"/>
      </w:pPr>
      <w:r>
        <w:rPr>
          <w:rFonts w:ascii="Calibri" w:hAnsi="Calibri"/>
          <w:b w:val="0"/>
          <w:color w:val="000000"/>
          <w:sz w:val="20"/>
        </w:rPr>
        <w:t>2.  Stop using the legacy ADR-002 label for Contact Master in new code, migrations, reports and tests; raise a controlled documentation correction for existing artifacts.</w:t>
      </w:r>
    </w:p>
    <w:p>
      <w:pPr>
        <w:spacing w:after="60" w:line="259" w:lineRule="auto"/>
      </w:pPr>
      <w:r>
        <w:rPr>
          <w:rFonts w:ascii="Calibri" w:hAnsi="Calibri"/>
          <w:b w:val="0"/>
          <w:color w:val="000000"/>
          <w:sz w:val="20"/>
        </w:rPr>
        <w:t>3.  Submit the current Template Builder gap matrix against ADR-000, ADR-001, ADR-003, ADR-004 and UDLTB-IMP-001.</w:t>
      </w:r>
    </w:p>
    <w:p>
      <w:pPr>
        <w:spacing w:after="60" w:line="259" w:lineRule="auto"/>
      </w:pPr>
      <w:r>
        <w:rPr>
          <w:rFonts w:ascii="Calibri" w:hAnsi="Calibri"/>
          <w:b w:val="0"/>
          <w:color w:val="000000"/>
          <w:sz w:val="20"/>
        </w:rPr>
        <w:t>4.  Split P0-D into explicit shared-service work packages and dependencies; do not claim one generic implementation covers Numbering, Files, Templates, PDF, Email/Notice and Error Standard.</w:t>
      </w:r>
    </w:p>
    <w:p>
      <w:pPr>
        <w:spacing w:after="60" w:line="259" w:lineRule="auto"/>
      </w:pPr>
      <w:r>
        <w:rPr>
          <w:rFonts w:ascii="Calibri" w:hAnsi="Calibri"/>
          <w:b w:val="0"/>
          <w:color w:val="000000"/>
          <w:sz w:val="20"/>
        </w:rPr>
        <w:t>5.  Deliver Sales, CRM and Accounting gates first. Do not implement Field Service, Contract, Project or Service Industry screens inside the current scope.</w:t>
      </w:r>
    </w:p>
    <w:p>
      <w:pPr>
        <w:spacing w:after="60" w:line="259" w:lineRule="auto"/>
      </w:pPr>
      <w:r>
        <w:rPr>
          <w:rFonts w:ascii="Calibri" w:hAnsi="Calibri"/>
          <w:b w:val="0"/>
          <w:color w:val="000000"/>
          <w:sz w:val="20"/>
        </w:rPr>
        <w:t>6.  Use Template Interaction Type, never Runtime Mode, for Document/Form/Survey classification.</w:t>
      </w:r>
    </w:p>
    <w:p>
      <w:pPr>
        <w:spacing w:after="60" w:line="259" w:lineRule="auto"/>
      </w:pPr>
      <w:r>
        <w:rPr>
          <w:rFonts w:ascii="Calibri" w:hAnsi="Calibri"/>
          <w:b w:val="0"/>
          <w:color w:val="000000"/>
          <w:sz w:val="20"/>
        </w:rPr>
        <w:t>7.  Do not declare completion until Sections 18–20 pass with evidence and no unresolved Critical/High defect.</w:t>
      </w:r>
    </w:p>
    <w:p>
      <w:pPr>
        <w:pStyle w:val="Heading1"/>
      </w:pPr>
      <w:r>
        <w:t>22. Definition of Done and claim boundary</w:t>
      </w:r>
    </w:p>
    <w:p>
      <w:pPr>
        <w:spacing w:after="100" w:line="259" w:lineRule="auto"/>
      </w:pPr>
      <w:r>
        <w:rPr>
          <w:rFonts w:ascii="Calibri" w:hAnsi="Calibri"/>
          <w:b w:val="0"/>
          <w:color w:val="000000"/>
          <w:sz w:val="20"/>
        </w:rPr>
        <w:t>ADR-004 current delivery is complete only when G0–G6 and all current Sales, CRM and Accounting reference scenarios pass. Extension readiness means the contracts exist and are tested for registration compatibility; it does not mean future domains are implemented.</w:t>
      </w:r>
    </w:p>
    <w:tbl>
      <w:tblPr>
        <w:tblW w:type="auto" w:w="0"/>
        <w:tblLayout w:type="fixed"/>
        <w:tblLook w:firstColumn="1" w:firstRow="1" w:lastColumn="0" w:lastRow="0" w:noHBand="0" w:noVBand="1" w:val="04A0"/>
      </w:tblPr>
      <w:tblGrid>
        <w:gridCol w:w="9878"/>
      </w:tblGrid>
      <w:tr>
        <w:tc>
          <w:tcPr>
            <w:tcW w:type="dxa" w:w="9878"/>
            <w:shd w:fill="E8EEF5"/>
            <w:tcMar>
              <w:top w:w="75" w:type="dxa"/>
              <w:start w:w="110" w:type="dxa"/>
              <w:bottom w:w="75" w:type="dxa"/>
              <w:end w:w="110" w:type="dxa"/>
            </w:tcMar>
          </w:tcPr>
          <w:p>
            <w:pPr>
              <w:spacing w:after="0"/>
            </w:pPr>
            <w:r/>
            <w:r>
              <w:rPr>
                <w:b/>
                <w:color w:val="17365D"/>
                <w:sz w:val="20"/>
              </w:rPr>
              <w:t xml:space="preserve">Permitted completion claim: </w:t>
            </w:r>
            <w:r>
              <w:rPr>
                <w:sz w:val="20"/>
              </w:rPr>
              <w:t>ADR-004 Sales, CRM and Accounting template scope implemented, evidenced, accepted and production verified for the named tenant/environment.</w:t>
            </w:r>
          </w:p>
        </w:tc>
      </w:tr>
    </w:tbl>
    <w:p>
      <w:pPr>
        <w:spacing w:after="20"/>
      </w:pPr>
    </w:p>
    <w:tbl>
      <w:tblPr>
        <w:tblW w:type="auto" w:w="0"/>
        <w:tblLayout w:type="fixed"/>
        <w:tblLook w:firstColumn="1" w:firstRow="1" w:lastColumn="0" w:lastRow="0" w:noHBand="0" w:noVBand="1" w:val="04A0"/>
      </w:tblPr>
      <w:tblGrid>
        <w:gridCol w:w="9878"/>
      </w:tblGrid>
      <w:tr>
        <w:tc>
          <w:tcPr>
            <w:tcW w:type="dxa" w:w="9878"/>
            <w:shd w:fill="FCE8E6"/>
            <w:tcMar>
              <w:top w:w="75" w:type="dxa"/>
              <w:start w:w="110" w:type="dxa"/>
              <w:bottom w:w="75" w:type="dxa"/>
              <w:end w:w="110" w:type="dxa"/>
            </w:tcMar>
          </w:tcPr>
          <w:p>
            <w:pPr>
              <w:spacing w:after="0"/>
            </w:pPr>
            <w:r/>
            <w:r>
              <w:rPr>
                <w:b/>
                <w:color w:val="17365D"/>
                <w:sz w:val="20"/>
              </w:rPr>
              <w:t xml:space="preserve">Forbidden claims: </w:t>
            </w:r>
            <w:r>
              <w:rPr>
                <w:sz w:val="20"/>
              </w:rPr>
              <w:t>Universal Template Platform completed; all ERP documents supported; Field Service/Project/Contract supported; zero regression—unless the applicable domain packs and complete evidence prove those exact claims.</w:t>
            </w:r>
          </w:p>
        </w:tc>
      </w:tr>
    </w:tbl>
    <w:p>
      <w:pPr>
        <w:spacing w:after="2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ADR-004  |  Controlled Engineering Source of Truth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6"/>
      </w:rPr>
      <w:t>ACENova ERP  |  Architecture Decision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0"/>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ADR-004 Universal Template Platform — Sales, CRM and Accounting</dc:title>
  <dc:subject>Shared template architecture with current-domain delivery and future extension contracts</dc:subject>
  <dc:creator>ACENova ERP Platform Architecture</dc:creator>
  <cp:keywords>ADR-004, template, sales, CRM, accounting, entitlement, document, form, survey</cp:keywords>
  <dc:description>generated by python-docx</dc:description>
  <cp:lastModifiedBy/>
  <cp:revision>1</cp:revision>
  <dcterms:created xsi:type="dcterms:W3CDTF">2013-12-23T23:15:00Z</dcterms:created>
  <dcterms:modified xsi:type="dcterms:W3CDTF">2013-12-23T23:15:00Z</dcterms:modified>
  <cp:category/>
</cp:coreProperties>
</file>