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300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7"/>
        <w:gridCol w:w="2735"/>
        <w:gridCol w:w="158"/>
        <w:gridCol w:w="78"/>
        <w:gridCol w:w="4256"/>
        <w:gridCol w:w="40"/>
        <w:gridCol w:w="2812"/>
        <w:gridCol w:w="1442"/>
        <w:gridCol w:w="45"/>
        <w:tblGridChange w:id="0">
          <w:tblGrid>
            <w:gridCol w:w="1437"/>
            <w:gridCol w:w="2735"/>
            <w:gridCol w:w="158"/>
            <w:gridCol w:w="78"/>
            <w:gridCol w:w="4256"/>
            <w:gridCol w:w="40"/>
            <w:gridCol w:w="2812"/>
            <w:gridCol w:w="1442"/>
            <w:gridCol w:w="45"/>
          </w:tblGrid>
        </w:tblGridChange>
      </w:tblGrid>
      <w:tr>
        <w:trPr>
          <w:cantSplit w:val="0"/>
          <w:trHeight w:val="20" w:hRule="atLeast"/>
          <w:tblHeader w:val="0"/>
        </w:trPr>
        <w:tc>
          <w:tcPr>
            <w:gridSpan w:val="9"/>
            <w:tcBorders>
              <w:top w:color="000000" w:space="0" w:sz="24" w:val="single"/>
              <w:left w:color="000000" w:space="0" w:sz="0" w:val="nil"/>
              <w:bottom w:color="000000" w:space="0" w:sz="0" w:val="nil"/>
              <w:right w:color="000000" w:space="0" w:sz="0" w:val="nil"/>
            </w:tcBorders>
            <w:vAlign w:val="cente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016" w:hRule="atLeast"/>
          <w:tblHeader w:val="0"/>
        </w:trPr>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Miércoles, 2 de septiembre de 2026 </w:t>
            </w:r>
          </w:p>
        </w:tc>
        <w:tc>
          <w:tcPr>
            <w:gridSpan w:val="6"/>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bCs w:val="0"/>
                <w:i w:val="0"/>
                <w:iCs w:val="0"/>
                <w:smallCaps w:val="0"/>
                <w:strike w:val="0"/>
                <w:color w:val="000000"/>
                <w:sz w:val="72"/>
                <w:szCs w:val="7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72"/>
                <w:szCs w:val="72"/>
                <w:u w:val="none"/>
                <w:shd w:fill="auto" w:val="clear"/>
                <w:vertAlign w:val="baseline"/>
                <w:rtl w:val="0"/>
              </w:rPr>
              <w:t xml:space="preserve">NOTICIA SEMANAL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Baskerville" w:cs="Libre Baskerville" w:eastAsia="Libre Baskerville" w:hAnsi="Libre Baskerville"/>
                <w:b w:val="0"/>
                <w:bCs w:val="0"/>
                <w:i w:val="0"/>
                <w:iCs w:val="0"/>
                <w:smallCaps w:val="0"/>
                <w:strike w:val="0"/>
                <w:color w:val="000000"/>
                <w:sz w:val="52"/>
                <w:szCs w:val="5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40"/>
                <w:szCs w:val="40"/>
                <w:u w:val="none"/>
                <w:shd w:fill="auto" w:val="clear"/>
                <w:vertAlign w:val="baseline"/>
                <w:rtl w:val="0"/>
              </w:rPr>
              <w:t xml:space="preserve">Últimas actualizaciones de noticias y boletines</w:t>
            </w:r>
            <w:r w:rsidDel="00000000" w:rsidR="00000000" w:rsidRPr="00000000">
              <w:rPr>
                <w:rFonts w:ascii="Libre Baskerville" w:cs="Libre Baskerville" w:eastAsia="Libre Baskerville" w:hAnsi="Libre Baskerville"/>
                <w:b w:val="0"/>
                <w:bCs w:val="0"/>
                <w:i w:val="0"/>
                <w:iCs w:val="0"/>
                <w:smallCaps w:val="0"/>
                <w:strike w:val="0"/>
                <w:color w:val="000000"/>
                <w:sz w:val="52"/>
                <w:szCs w:val="52"/>
                <w:u w:val="none"/>
                <w:shd w:fill="auto" w:val="clear"/>
                <w:vertAlign w:val="baseline"/>
                <w:rtl w:val="0"/>
              </w:rPr>
              <w:t xml:space="preserve"> </w:t>
            </w:r>
          </w:p>
        </w:tc>
        <w:tc>
          <w:tcPr>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Número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3</w:t>
            </w:r>
          </w:p>
        </w:tc>
      </w:tr>
      <w:tr>
        <w:trPr>
          <w:cantSplit w:val="0"/>
          <w:trHeight w:val="144" w:hRule="atLeast"/>
          <w:tblHeader w:val="0"/>
        </w:trPr>
        <w:tc>
          <w:tcPr>
            <w:gridSpan w:val="9"/>
            <w:tcBorders>
              <w:top w:color="000000" w:space="0" w:sz="0" w:val="nil"/>
              <w:left w:color="000000" w:space="0" w:sz="0" w:val="nil"/>
              <w:bottom w:color="000000" w:space="0" w:sz="24" w:val="single"/>
              <w:right w:color="000000" w:space="0" w:sz="0" w:val="nil"/>
            </w:tcBorders>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80" w:hRule="atLeast"/>
          <w:tblHeader w:val="0"/>
        </w:trPr>
        <w:tc>
          <w:tcPr>
            <w:gridSpan w:val="9"/>
            <w:tcBorders>
              <w:top w:color="000000" w:space="0" w:sz="24" w:val="single"/>
              <w:left w:color="000000" w:space="0" w:sz="0" w:val="nil"/>
              <w:bottom w:color="000000" w:space="0" w:sz="0" w:val="nil"/>
              <w:right w:color="000000" w:space="0" w:sz="0" w:val="nil"/>
            </w:tcBorders>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08" w:hRule="atLeast"/>
          <w:tblHeader w:val="0"/>
        </w:trPr>
        <w:tc>
          <w:tcPr>
            <w:gridSpan w:val="2"/>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Baskerville" w:cs="Libre Baskerville" w:eastAsia="Libre Baskerville" w:hAnsi="Libre Baskerville"/>
                <w:b w:val="0"/>
                <w:bCs w:val="0"/>
                <w:i w:val="0"/>
                <w:iCs w:val="0"/>
                <w:smallCaps w:val="0"/>
                <w:strike w:val="0"/>
                <w:color w:val="000000"/>
                <w:sz w:val="12"/>
                <w:szCs w:val="1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12"/>
                <w:szCs w:val="12"/>
                <w:u w:val="none"/>
                <w:shd w:fill="auto" w:val="clear"/>
                <w:vertAlign w:val="baseline"/>
                <w:rtl w:val="0"/>
              </w:rPr>
              <w:t xml:space="preserve">El Nacional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0"/>
                <w:bCs w:val="0"/>
                <w:i w:val="0"/>
                <w:iCs w:val="0"/>
                <w:smallCaps w:val="0"/>
                <w:strike w:val="0"/>
                <w:color w:val="000000"/>
                <w:sz w:val="32"/>
                <w:szCs w:val="3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32"/>
                <w:szCs w:val="32"/>
                <w:u w:val="none"/>
                <w:shd w:fill="auto" w:val="clear"/>
                <w:vertAlign w:val="baseline"/>
                <w:rtl w:val="0"/>
              </w:rPr>
              <w:t xml:space="preserve">Paraguay busca abrir nuevos mercados para la yerba mate en Turquía y Azerbaiyan</w:t>
            </w:r>
            <w:r w:rsidDel="00000000" w:rsidR="00000000" w:rsidRPr="00000000">
              <w:rPr>
                <w:rFonts w:ascii="Georgia" w:cs="Georgia" w:eastAsia="Georgia" w:hAnsi="Georgia"/>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Baskerville" w:cs="Libre Baskerville" w:eastAsia="Libre Baskerville" w:hAnsi="Libre Baskerville"/>
                <w:b w:val="0"/>
                <w:bCs w:val="0"/>
                <w:i w:val="0"/>
                <w:iCs w:val="0"/>
                <w:smallCaps w:val="0"/>
                <w:strike w:val="0"/>
                <w:color w:val="000000"/>
                <w:sz w:val="32"/>
                <w:szCs w:val="3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32"/>
                <w:szCs w:val="32"/>
                <w:u w:val="none"/>
                <w:shd w:fill="auto" w:val="clear"/>
                <w:vertAlign w:val="baseline"/>
                <w:rtl w:val="0"/>
              </w:rPr>
              <w:t xml:space="preserve">Resumen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Paraguay impulsa una campaña para promocionar la yerba mate en Turquía, Medio Oriente y el Cáucaso, especialmente en Azerbaiyán. La Embajada paraguaya en Turquía desarrolla acciones de diplomacia económica y gastronómica para posicionar productos paraguayos y facilitar su ingreso a nuevos mercados.</w:t>
            </w:r>
          </w:p>
          <w:p w:rsidR="00000000" w:rsidDel="00000000" w:rsidP="00000000" w:rsidRDefault="00000000" w:rsidRPr="00000000" w14:paraId="0000002B">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Turquía, país con alto consumo de infusiones, se busca introducir la yerba mate mediante ferias, degustaciones y presentaciones de mate, tereré y cocido. Paraguay participará en la feria Food Is, del 1 al 4 de septiembre en Estambul, y en diciembre en World Foods, donde también promocionará productos como chía, sésamo, stevia y salsa de soja.</w:t>
            </w:r>
          </w:p>
          <w:p w:rsidR="00000000" w:rsidDel="00000000" w:rsidP="00000000" w:rsidRDefault="00000000" w:rsidRPr="00000000" w14:paraId="0000002C">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embajador Guillermo Sosa señaló que Turquía, con 85 millones de habitantes, representa un mercado con posibilidades para los alimentos paraguayos. También destacó la importancia de industrializar los productos para aumentar las exportaciones y generar empleos en Paraguay.</w:t>
            </w:r>
          </w:p>
          <w:p w:rsidR="00000000" w:rsidDel="00000000" w:rsidP="00000000" w:rsidRDefault="00000000" w:rsidRPr="00000000" w14:paraId="0000002D">
            <w:pPr>
              <w:rPr>
                <w:rFonts w:ascii="Georgia" w:cs="Georgia" w:eastAsia="Georgia" w:hAnsi="Georgia"/>
                <w:b w:val="1"/>
                <w:bCs w:val="1"/>
                <w:sz w:val="32"/>
                <w:szCs w:val="32"/>
              </w:rPr>
            </w:pPr>
            <w:r w:rsidDel="00000000" w:rsidR="00000000" w:rsidRPr="00000000">
              <w:rPr>
                <w:rFonts w:ascii="Libre Baskerville" w:cs="Libre Baskerville" w:eastAsia="Libre Baskerville" w:hAnsi="Libre Baskerville"/>
                <w:sz w:val="32"/>
                <w:szCs w:val="32"/>
                <w:rtl w:val="0"/>
              </w:rPr>
              <w:t xml:space="preserve"> </w:t>
            </w:r>
            <w:r w:rsidDel="00000000" w:rsidR="00000000" w:rsidRPr="00000000">
              <w:rPr>
                <w:rFonts w:ascii="Georgia" w:cs="Georgia" w:eastAsia="Georgia" w:hAnsi="Georgia"/>
                <w:b w:val="1"/>
                <w:bCs w:val="1"/>
                <w:sz w:val="40"/>
                <w:szCs w:val="40"/>
                <w:rtl w:val="0"/>
              </w:rPr>
              <w:t xml:space="preserve">Glosario.                      </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tl w:val="0"/>
              </w:rPr>
              <w:t xml:space="preserve">Criptominería:</w:t>
            </w: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 Proceso informático para crear criptomonedas y validar transacciones.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tl w:val="0"/>
              </w:rPr>
              <w:t xml:space="preserve">Blockchain:</w:t>
            </w: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 Proceso informático para crear criptomonedas y validar transacciones.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tl w:val="0"/>
              </w:rPr>
              <w:t xml:space="preserve">Activos digitales:</w:t>
            </w: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 Bienes con valor económico que solo existen de forma virtual.</w:t>
            </w:r>
          </w:p>
          <w:p w:rsidR="00000000" w:rsidDel="00000000" w:rsidP="00000000" w:rsidRDefault="00000000" w:rsidRPr="00000000" w14:paraId="00000031">
            <w:pPr>
              <w:rPr>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3">
            <w:pPr>
              <w:jc w:val="center"/>
              <w:rPr>
                <w:color w:val="000000"/>
              </w:rPr>
            </w:pPr>
            <w:r w:rsidDel="00000000" w:rsidR="00000000" w:rsidRPr="00000000">
              <w:rPr>
                <w:rtl w:val="0"/>
              </w:rPr>
            </w:r>
          </w:p>
        </w:tc>
        <w:tc>
          <w:tcPr>
            <w:gridSpan w:val="5"/>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bCs w:val="0"/>
                <w:i w:val="0"/>
                <w:iCs w:val="0"/>
                <w:smallCaps w:val="0"/>
                <w:strike w:val="0"/>
                <w:color w:val="000000"/>
                <w:sz w:val="36"/>
                <w:szCs w:val="36"/>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drawing>
                <wp:inline distB="0" distT="0" distL="0" distR="0">
                  <wp:extent cx="3935199" cy="38683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35199" cy="3868338"/>
                          </a:xfrm>
                          <a:prstGeom prst="rect"/>
                          <a:ln/>
                        </pic:spPr>
                      </pic:pic>
                    </a:graphicData>
                  </a:graphic>
                </wp:inline>
              </w:drawing>
            </w:r>
            <w:r w:rsidDel="00000000" w:rsidR="00000000" w:rsidRPr="00000000">
              <w:rPr>
                <w:rtl w:val="0"/>
              </w:rPr>
            </w:r>
          </w:p>
        </w:tc>
      </w:tr>
      <w:tr>
        <w:trPr>
          <w:cantSplit w:val="0"/>
          <w:trHeight w:val="728" w:hRule="atLeast"/>
          <w:tblHeader w:val="0"/>
        </w:trPr>
        <w:tc>
          <w:tcPr>
            <w:gridSpan w:val="2"/>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0"/>
                <w:bCs w:val="0"/>
                <w:i w:val="0"/>
                <w:iCs w:val="0"/>
                <w:smallCaps w:val="0"/>
                <w:strike w:val="0"/>
                <w:color w:val="000000"/>
                <w:sz w:val="36"/>
                <w:szCs w:val="36"/>
                <w:u w:val="none"/>
                <w:shd w:fill="auto" w:val="clear"/>
                <w:vertAlign w:val="baseline"/>
              </w:rPr>
            </w:pPr>
            <w:r w:rsidDel="00000000" w:rsidR="00000000" w:rsidRPr="00000000">
              <w:rPr>
                <w:rtl w:val="0"/>
              </w:rPr>
            </w:r>
          </w:p>
        </w:tc>
        <w:tc>
          <w:tcPr>
            <w:gridSpan w:val="2"/>
            <w:vMerge w:val="restart"/>
            <w:tcBorders>
              <w:top w:color="000000" w:space="0" w:sz="0" w:val="nil"/>
              <w:left w:color="000000" w:space="0" w:sz="0" w:val="nil"/>
              <w:right w:color="000000" w:space="0" w:sz="0" w:val="nil"/>
            </w:tcBorders>
            <w:vAlign w:val="center"/>
          </w:tcPr>
          <w:p w:rsidR="00000000" w:rsidDel="00000000" w:rsidP="00000000" w:rsidRDefault="00000000" w:rsidRPr="00000000" w14:paraId="0000003C">
            <w:pPr>
              <w:jc w:val="center"/>
              <w:rPr>
                <w:color w:val="000000"/>
              </w:rPr>
            </w:pPr>
            <w:r w:rsidDel="00000000" w:rsidR="00000000" w:rsidRPr="00000000">
              <w:rPr>
                <w:rtl w:val="0"/>
              </w:rPr>
            </w:r>
          </w:p>
        </w:tc>
        <w:tc>
          <w:tcPr>
            <w:gridSpan w:val="5"/>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0"/>
                <w:bCs w:val="0"/>
                <w:i w:val="0"/>
                <w:iCs w:val="0"/>
                <w:smallCaps w:val="0"/>
                <w:strike w:val="0"/>
                <w:color w:val="000000"/>
                <w:sz w:val="18"/>
                <w:szCs w:val="18"/>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18"/>
                <w:szCs w:val="18"/>
                <w:u w:val="none"/>
                <w:shd w:fill="auto" w:val="clear"/>
                <w:vertAlign w:val="baseline"/>
                <w:rtl w:val="0"/>
              </w:rPr>
              <w:t xml:space="preserve">                                Yerba mate paraguaya conquista cada vez más a los mercados internacionales.</w:t>
            </w:r>
          </w:p>
        </w:tc>
      </w:tr>
      <w:tr>
        <w:trPr>
          <w:cantSplit w:val="0"/>
          <w:trHeight w:val="1709" w:hRule="atLeast"/>
          <w:tblHeader w:val="0"/>
        </w:trPr>
        <w:tc>
          <w:tcPr>
            <w:gridSpan w:val="2"/>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Baskerville" w:cs="Libre Baskerville" w:eastAsia="Libre Baskerville" w:hAnsi="Libre Baskerville"/>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Merge w:val="continue"/>
            <w:tcBorders>
              <w:top w:color="000000" w:space="0" w:sz="0" w:val="nil"/>
              <w:left w:color="000000" w:space="0" w:sz="0" w:val="nil"/>
              <w:right w:color="000000" w:space="0" w:sz="0" w:val="nil"/>
            </w:tcBorders>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Baskerville" w:cs="Libre Baskerville" w:eastAsia="Libre Baskerville" w:hAnsi="Libre Baskerville"/>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5"/>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Baskerville" w:cs="Libre Baskerville" w:eastAsia="Libre Baskerville" w:hAnsi="Libre Baskerville"/>
                <w:b w:val="0"/>
                <w:bCs w:val="0"/>
                <w:i w:val="0"/>
                <w:iCs w:val="0"/>
                <w:smallCaps w:val="0"/>
                <w:strike w:val="0"/>
                <w:color w:val="000000"/>
                <w:sz w:val="32"/>
                <w:szCs w:val="32"/>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32"/>
                <w:szCs w:val="32"/>
                <w:u w:val="none"/>
                <w:shd w:fill="auto" w:val="clear"/>
                <w:vertAlign w:val="baseline"/>
                <w:rtl w:val="0"/>
              </w:rPr>
              <w:t xml:space="preserve">CONCLUSIÓN</w:t>
            </w:r>
            <w:r w:rsidDel="00000000" w:rsidR="00000000" w:rsidRPr="00000000">
              <w:rPr>
                <w:rFonts w:ascii="Libre Baskerville" w:cs="Libre Baskerville" w:eastAsia="Libre Baskerville" w:hAnsi="Libre Baskerville"/>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Libre Baskerville" w:cs="Libre Baskerville" w:eastAsia="Libre Baskerville" w:hAnsi="Libre Baskerville"/>
                <w:b w:val="1"/>
                <w:bCs w:val="1"/>
                <w:i w:val="0"/>
                <w:iCs w:val="0"/>
                <w:smallCaps w:val="0"/>
                <w:strike w:val="0"/>
                <w:color w:val="000000"/>
                <w:sz w:val="32"/>
                <w:szCs w:val="32"/>
                <w:u w:val="none"/>
                <w:shd w:fill="auto" w:val="clear"/>
                <w:vertAlign w:val="baseline"/>
                <w:rtl w:val="0"/>
              </w:rPr>
              <w:t xml:space="preserve">RECOMENDACIONES</w:t>
            </w:r>
            <w:r w:rsidDel="00000000" w:rsidR="00000000" w:rsidRPr="00000000">
              <w:rPr>
                <w:rtl w:val="0"/>
              </w:rPr>
            </w:r>
          </w:p>
        </w:tc>
      </w:tr>
      <w:tr>
        <w:trPr>
          <w:cantSplit w:val="0"/>
          <w:trHeight w:val="237" w:hRule="atLeast"/>
          <w:tblHeader w:val="0"/>
        </w:trPr>
        <w:tc>
          <w:tcPr>
            <w:gridSpan w:val="2"/>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Baskerville" w:cs="Libre Baskerville" w:eastAsia="Libre Baskerville" w:hAnsi="Libre Baskerville"/>
                <w:b w:val="0"/>
                <w:bCs w:val="0"/>
                <w:i w:val="0"/>
                <w:iCs w:val="0"/>
                <w:smallCaps w:val="0"/>
                <w:strike w:val="0"/>
                <w:color w:val="000000"/>
                <w:sz w:val="32"/>
                <w:szCs w:val="32"/>
                <w:u w:val="none"/>
                <w:shd w:fill="auto" w:val="clear"/>
                <w:vertAlign w:val="baseline"/>
              </w:rPr>
            </w:pPr>
            <w:r w:rsidDel="00000000" w:rsidR="00000000" w:rsidRPr="00000000">
              <w:rPr>
                <w:rtl w:val="0"/>
              </w:rPr>
            </w:r>
          </w:p>
        </w:tc>
        <w:tc>
          <w:tcPr>
            <w:gridSpan w:val="2"/>
            <w:vMerge w:val="continue"/>
            <w:tcBorders>
              <w:top w:color="000000" w:space="0" w:sz="0" w:val="nil"/>
              <w:left w:color="000000" w:space="0" w:sz="0" w:val="nil"/>
              <w:right w:color="000000" w:space="0" w:sz="0" w:val="nil"/>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Baskerville" w:cs="Libre Baskerville" w:eastAsia="Libre Baskerville" w:hAnsi="Libre Baskerville"/>
                <w:b w:val="0"/>
                <w:bCs w:val="0"/>
                <w:i w:val="0"/>
                <w:iCs w:val="0"/>
                <w:smallCaps w:val="0"/>
                <w:strike w:val="0"/>
                <w:color w:val="000000"/>
                <w:sz w:val="32"/>
                <w:szCs w:val="32"/>
                <w:u w:val="none"/>
                <w:shd w:fill="auto" w:val="clear"/>
                <w:vertAlign w:val="baseline"/>
              </w:rPr>
            </w:pPr>
            <w:r w:rsidDel="00000000" w:rsidR="00000000" w:rsidRPr="00000000">
              <w:rPr>
                <w:rtl w:val="0"/>
              </w:rPr>
            </w:r>
          </w:p>
        </w:tc>
        <w:tc>
          <w:tcPr>
            <w:gridSpan w:val="2"/>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promoción de la yerba mate y otros productos paraguayos en Turquía representa una oportunidad para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diversificar las exportaciones, acceder a nuevos mercados y fortalecer la presencia comercial de Paraguay a nivel internacional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especialmente mediante la industrialización y la diplomacia gastronómica.</w:t>
            </w:r>
          </w:p>
          <w:p w:rsidR="00000000" w:rsidDel="00000000" w:rsidP="00000000" w:rsidRDefault="00000000" w:rsidRPr="00000000" w14:paraId="00000051">
            <w:pPr>
              <w:rPr/>
            </w:pPr>
            <w:r w:rsidDel="00000000" w:rsidR="00000000" w:rsidRPr="00000000">
              <w:rPr>
                <w:rtl w:val="0"/>
              </w:rPr>
            </w:r>
          </w:p>
        </w:tc>
        <w:tc>
          <w:tcPr>
            <w:gridSpan w:val="3"/>
            <w:vMerge w:val="restart"/>
            <w:tcBorders>
              <w:top w:color="000000" w:space="0" w:sz="0" w:val="nil"/>
              <w:left w:color="000000" w:space="0" w:sz="0" w:val="nil"/>
              <w:bottom w:color="000000" w:space="0" w:sz="0" w:val="nil"/>
              <w:right w:color="000000" w:space="0" w:sz="0" w:val="nil"/>
            </w:tcBorders>
            <w:tcMar>
              <w:top w:w="144.0" w:type="dxa"/>
              <w:left w:w="144.0" w:type="dxa"/>
            </w:tcMar>
            <w:vAlign w:val="center"/>
          </w:tcPr>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Se recomienda </w:t>
            </w:r>
            <w:r w:rsidDel="00000000" w:rsidR="00000000" w:rsidRPr="00000000">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tl w:val="0"/>
              </w:rPr>
              <w:t xml:space="preserve">fortalecer la diplomacia económica y gastronómica</w:t>
            </w: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 para promocionar la yerba mate y otros productos paraguayos en Turquía y Medio Oriente.</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También es importante </w:t>
            </w:r>
            <w:r w:rsidDel="00000000" w:rsidR="00000000" w:rsidRPr="00000000">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tl w:val="0"/>
              </w:rPr>
              <w:t xml:space="preserve">diversificar los mercados de exportación</w:t>
            </w: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 fortaleciendo los vínculos comerciales con países como Azerbaiyán y otros mercados de la región.</w:t>
            </w:r>
          </w:p>
          <w:p w:rsidR="00000000" w:rsidDel="00000000" w:rsidP="00000000" w:rsidRDefault="00000000" w:rsidRPr="00000000" w14:paraId="00000055">
            <w:pPr>
              <w:rPr/>
            </w:pPr>
            <w:r w:rsidDel="00000000" w:rsidR="00000000" w:rsidRPr="00000000">
              <w:rPr>
                <w:rtl w:val="0"/>
              </w:rPr>
            </w:r>
          </w:p>
        </w:tc>
      </w:tr>
      <w:tr>
        <w:trPr>
          <w:cantSplit w:val="0"/>
          <w:trHeight w:val="1629"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A">
            <w:pPr>
              <w:jc w:val="center"/>
              <w:rPr>
                <w:color w:val="000000"/>
              </w:rPr>
            </w:pPr>
            <w:r w:rsidDel="00000000" w:rsidR="00000000" w:rsidRPr="00000000">
              <w:rPr>
                <w:rtl w:val="0"/>
              </w:rPr>
            </w:r>
          </w:p>
        </w:tc>
        <w:tc>
          <w:tcPr>
            <w:gridSpan w:val="2"/>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gridSpan w:val="3"/>
            <w:vMerge w:val="continue"/>
            <w:tcBorders>
              <w:top w:color="000000" w:space="0" w:sz="0" w:val="nil"/>
              <w:left w:color="000000" w:space="0" w:sz="0" w:val="nil"/>
              <w:bottom w:color="000000" w:space="0" w:sz="0" w:val="nil"/>
              <w:right w:color="000000" w:space="0" w:sz="0" w:val="nil"/>
            </w:tcBorders>
            <w:tcMar>
              <w:top w:w="144.0" w:type="dxa"/>
              <w:left w:w="144.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1008"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Baskerville" w:cs="Libre Baskerville" w:eastAsia="Libre Baskerville" w:hAnsi="Libre Baskerville"/>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Baskerville" w:cs="Libre Baskerville" w:eastAsia="Libre Baskerville" w:hAnsi="Libre Baskerville"/>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tcBorders>
              <w:top w:color="000000" w:space="0" w:sz="0" w:val="nil"/>
              <w:left w:color="000000" w:space="0" w:sz="0" w:val="nil"/>
              <w:bottom w:color="000000" w:space="0" w:sz="0" w:val="nil"/>
              <w:right w:color="000000" w:space="0" w:sz="0" w:val="nil"/>
            </w:tcBorders>
            <w:tcMar>
              <w:top w:w="144.0" w:type="dxa"/>
              <w:left w:w="144.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Baskerville" w:cs="Libre Baskerville" w:eastAsia="Libre Baskerville" w:hAnsi="Libre Baskerville"/>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76" w:hRule="atLeast"/>
          <w:tblHeader w:val="0"/>
        </w:trPr>
        <w:tc>
          <w:tcPr>
            <w:gridSpan w:val="3"/>
            <w:tcBorders>
              <w:top w:color="000000" w:space="0" w:sz="0" w:val="nil"/>
              <w:left w:color="000000" w:space="0" w:sz="0" w:val="nil"/>
              <w:bottom w:color="000000" w:space="0" w:sz="0" w:val="nil"/>
              <w:right w:color="000000" w:space="0" w:sz="4" w:val="single"/>
            </w:tcBorders>
            <w:tcMar>
              <w:top w:w="144.0" w:type="dxa"/>
              <w:left w:w="216.0" w:type="dxa"/>
              <w:bottom w:w="0.0" w:type="dxa"/>
              <w:right w:w="216.0" w:type="dxa"/>
            </w:tcM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0"/>
                <w:bCs w:val="0"/>
                <w:i w:val="0"/>
                <w:iCs w:val="0"/>
                <w:smallCaps w:val="0"/>
                <w:strike w:val="0"/>
                <w:color w:val="000000"/>
                <w:sz w:val="32"/>
                <w:szCs w:val="32"/>
                <w:u w:val="none"/>
                <w:shd w:fill="auto" w:val="clear"/>
                <w:vertAlign w:val="baseline"/>
              </w:rPr>
            </w:pPr>
            <w:r w:rsidDel="00000000" w:rsidR="00000000" w:rsidRPr="00000000">
              <w:rPr>
                <w:rtl w:val="0"/>
              </w:rPr>
            </w:r>
          </w:p>
        </w:tc>
        <w:tc>
          <w:tcPr>
            <w:gridSpan w:val="2"/>
            <w:tcBorders>
              <w:top w:color="000000" w:space="0" w:sz="0" w:val="nil"/>
              <w:left w:color="000000" w:space="0" w:sz="4" w:val="single"/>
              <w:bottom w:color="000000" w:space="0" w:sz="0" w:val="nil"/>
              <w:right w:color="000000" w:space="0" w:sz="4" w:val="single"/>
            </w:tcBorders>
            <w:tcMar>
              <w:top w:w="144.0" w:type="dxa"/>
              <w:left w:w="216.0" w:type="dxa"/>
              <w:bottom w:w="0.0" w:type="dxa"/>
              <w:right w:w="216.0" w:type="dxa"/>
            </w:tcMa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1"/>
                <w:bCs w:val="1"/>
                <w:i w:val="0"/>
                <w:iCs w:val="0"/>
                <w:smallCaps w:val="0"/>
                <w:strike w:val="0"/>
                <w:color w:val="000000"/>
                <w:sz w:val="28"/>
                <w:szCs w:val="28"/>
                <w:u w:val="none"/>
                <w:shd w:fill="auto" w:val="clear"/>
                <w:vertAlign w:val="baseline"/>
              </w:rPr>
            </w:pPr>
            <w:r w:rsidDel="00000000" w:rsidR="00000000" w:rsidRPr="00000000">
              <w:rPr>
                <w:rtl w:val="0"/>
              </w:rPr>
            </w:r>
          </w:p>
        </w:tc>
        <w:tc>
          <w:tcPr>
            <w:gridSpan w:val="4"/>
            <w:tcBorders>
              <w:top w:color="000000" w:space="0" w:sz="0" w:val="nil"/>
              <w:left w:color="000000" w:space="0" w:sz="4" w:val="single"/>
              <w:bottom w:color="000000" w:space="0" w:sz="0" w:val="nil"/>
              <w:right w:color="000000" w:space="0" w:sz="0" w:val="nil"/>
            </w:tcBorders>
            <w:tcMar>
              <w:top w:w="144.0" w:type="dxa"/>
              <w:left w:w="216.0" w:type="dxa"/>
              <w:bottom w:w="0.0" w:type="dxa"/>
              <w:right w:w="216.0" w:type="dxa"/>
            </w:tcMa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576" w:hRule="atLeast"/>
          <w:tblHeader w:val="0"/>
        </w:trPr>
        <w:tc>
          <w:tcPr>
            <w:gridSpan w:val="3"/>
            <w:tcBorders>
              <w:top w:color="000000" w:space="0" w:sz="0" w:val="nil"/>
              <w:left w:color="000000" w:space="0" w:sz="0" w:val="nil"/>
              <w:bottom w:color="000000" w:space="0" w:sz="0" w:val="nil"/>
              <w:right w:color="000000" w:space="0" w:sz="4" w:val="single"/>
            </w:tcBorders>
            <w:tcMar>
              <w:top w:w="0.0" w:type="dxa"/>
              <w:left w:w="216.0" w:type="dxa"/>
              <w:bottom w:w="0.0" w:type="dxa"/>
              <w:right w:w="216.0" w:type="dxa"/>
            </w:tcM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4" w:val="single"/>
              <w:bottom w:color="000000" w:space="0" w:sz="0" w:val="nil"/>
              <w:right w:color="000000" w:space="0" w:sz="4" w:val="single"/>
            </w:tcBorders>
            <w:tcMar>
              <w:top w:w="0.0" w:type="dxa"/>
              <w:left w:w="216.0" w:type="dxa"/>
              <w:bottom w:w="0.0" w:type="dxa"/>
              <w:right w:w="216.0" w:type="dxa"/>
            </w:tcMa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Borders>
              <w:top w:color="000000" w:space="0" w:sz="0" w:val="nil"/>
              <w:left w:color="000000" w:space="0" w:sz="4" w:val="single"/>
              <w:bottom w:color="000000" w:space="0" w:sz="0" w:val="nil"/>
              <w:right w:color="000000" w:space="0" w:sz="0" w:val="nil"/>
            </w:tcBorders>
            <w:tcMar>
              <w:top w:w="0.0" w:type="dxa"/>
              <w:left w:w="216.0" w:type="dxa"/>
              <w:bottom w:w="0.0" w:type="dxa"/>
              <w:right w:w="216.0" w:type="dxa"/>
            </w:tcMa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530" w:hRule="atLeast"/>
          <w:tblHeader w:val="0"/>
        </w:trPr>
        <w:tc>
          <w:tcPr>
            <w:gridSpan w:val="3"/>
            <w:tcBorders>
              <w:top w:color="000000" w:space="0" w:sz="0" w:val="nil"/>
              <w:left w:color="000000" w:space="0" w:sz="0" w:val="nil"/>
              <w:bottom w:color="000000" w:space="0" w:sz="0" w:val="nil"/>
              <w:right w:color="000000" w:space="0" w:sz="4" w:val="single"/>
            </w:tcBorders>
            <w:tcMar>
              <w:left w:w="216.0" w:type="dxa"/>
              <w:right w:w="216.0" w:type="dxa"/>
            </w:tcMa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 </w:t>
            </w:r>
          </w:p>
        </w:tc>
        <w:tc>
          <w:tcPr>
            <w:gridSpan w:val="2"/>
            <w:tcBorders>
              <w:top w:color="000000" w:space="0" w:sz="0" w:val="nil"/>
              <w:left w:color="000000" w:space="0" w:sz="4" w:val="single"/>
              <w:bottom w:color="000000" w:space="0" w:sz="0" w:val="nil"/>
              <w:right w:color="000000" w:space="0" w:sz="4" w:val="single"/>
            </w:tcBorders>
            <w:tcMar>
              <w:left w:w="216.0" w:type="dxa"/>
              <w:right w:w="216.0" w:type="dxa"/>
            </w:tcM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Borders>
              <w:top w:color="000000" w:space="0" w:sz="0" w:val="nil"/>
              <w:left w:color="000000" w:space="0" w:sz="4" w:val="single"/>
              <w:bottom w:color="000000" w:space="0" w:sz="0" w:val="nil"/>
              <w:right w:color="000000" w:space="0" w:sz="0" w:val="nil"/>
            </w:tcBorders>
            <w:tcMar>
              <w:left w:w="216.0" w:type="dxa"/>
              <w:right w:w="216.0" w:type="dxa"/>
            </w:tcMa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7">
      <w:pPr>
        <w:rPr>
          <w:color w:val="000000"/>
        </w:rPr>
      </w:pPr>
      <w:r w:rsidDel="00000000" w:rsidR="00000000" w:rsidRPr="00000000">
        <w:rPr>
          <w:rtl w:val="0"/>
        </w:rPr>
      </w:r>
    </w:p>
    <w:sectPr>
      <w:pgSz w:h="24480" w:w="15840" w:orient="portrait"/>
      <w:pgMar w:bottom="0" w:top="1440" w:left="1440" w:right="1440" w:header="720" w:footer="43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ibre Baskerville"/>
  <w:font w:name="Georgia"/>
  <w:font w:name="Arial"/>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Baskerville" w:cs="Libre Baskerville" w:eastAsia="Libre Baskerville" w:hAnsi="Libre Baskerville"/>
        <w:sz w:val="22"/>
        <w:szCs w:val="22"/>
        <w:lang w:val="es-MX"/>
      </w:rPr>
    </w:rPrDefault>
    <w:pPrDefault>
      <w:pPr>
        <w:spacing w:after="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