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UNIVERSIDAD NACIONAL DE ITAPÚA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0"/>
          <w:bCs w:val="0"/>
          <w:rtl w:val="0"/>
        </w:rPr>
        <w:t xml:space="preserve">Facultad de Humanidades, Ciencias Sociales y Cultura Guaraní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b w:val="0"/>
          <w:bCs w:val="0"/>
          <w:rtl w:val="0"/>
        </w:rPr>
        <w:t xml:space="preserve">Carrera: Licenciatura en Relaciones Internacionales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b w:val="0"/>
          <w:bCs w:val="0"/>
          <w:rtl w:val="0"/>
        </w:rPr>
        <w:t xml:space="preserve">Encarnación – Paraguay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Análisis de la noticia semanal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r w:rsidDel="00000000" w:rsidR="00000000" w:rsidRPr="00000000">
        <w:rPr>
          <w:rtl w:val="0"/>
        </w:rPr>
        <w:t xml:space="preserve">1. Desarrollo – Lectura de la noticia semanal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Título: </w:t>
      </w:r>
      <w:r w:rsidDel="00000000" w:rsidR="00000000" w:rsidRPr="00000000">
        <w:rPr>
          <w:rtl w:val="0"/>
        </w:rPr>
        <w:t xml:space="preserve">Paraguay contiene la morosidad en 2,3%, levemente debajo del promedio regional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Fuente: </w:t>
      </w:r>
      <w:r w:rsidDel="00000000" w:rsidR="00000000" w:rsidRPr="00000000">
        <w:rPr>
          <w:rtl w:val="0"/>
        </w:rPr>
        <w:t xml:space="preserve">Diario ABC Color (Economía) – Fecha: 2 de septiembre de 2026.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De acuerdo con la información publicada por ABC Color, Paraguay mantiene una tasa de morosidad bancaria del 2,3%, ubicándose levemente por debajo del promedio regional. Este indicador refleja la estabilidad del sistema financiero y la importancia de una adecuada gestión del crédito, aunque especialistas señalan la necesidad de continuar fortaleciendo los controles de riesgo y el acceso responsable al financiamiento.</w:t>
      </w:r>
    </w:p>
    <w:p w:rsidR="00000000" w:rsidDel="00000000" w:rsidP="00000000" w:rsidRDefault="00000000" w:rsidRPr="00000000" w14:paraId="0000000B">
      <w:pPr>
        <w:pStyle w:val="Heading2"/>
        <w:rPr/>
      </w:pPr>
      <w:r w:rsidDel="00000000" w:rsidR="00000000" w:rsidRPr="00000000">
        <w:rPr>
          <w:rtl w:val="0"/>
        </w:rPr>
        <w:t xml:space="preserve">2. Resumen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Paraguay registró una morosidad del 2,3%, un nivel inferior al promedio de América Latina. La noticia destaca la solidez del sistema financiero y la importancia de mantener políticas de crédito responsables.</w:t>
      </w:r>
    </w:p>
    <w:p w:rsidR="00000000" w:rsidDel="00000000" w:rsidP="00000000" w:rsidRDefault="00000000" w:rsidRPr="00000000" w14:paraId="0000000D">
      <w:pPr>
        <w:pStyle w:val="Heading2"/>
        <w:rPr/>
      </w:pPr>
      <w:r w:rsidDel="00000000" w:rsidR="00000000" w:rsidRPr="00000000">
        <w:rPr>
          <w:rtl w:val="0"/>
        </w:rPr>
        <w:t xml:space="preserve">3. Vocabulario económico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Morosidad: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atraso o incumplimiento en el pago de préstamos.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Sistema financiero: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conjunto de bancos y entidades que administran el crédito y el dinero.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Crédito: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préstamo otorgado con compromiso de devolución.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Riesgo financiero: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posibilidad de pérdidas por falta de pago.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Estabilidad económica: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equilibrio en el funcionamiento de la economía.</w:t>
      </w:r>
    </w:p>
    <w:p w:rsidR="00000000" w:rsidDel="00000000" w:rsidP="00000000" w:rsidRDefault="00000000" w:rsidRPr="00000000" w14:paraId="00000013">
      <w:pPr>
        <w:pStyle w:val="Heading2"/>
        <w:rPr/>
      </w:pPr>
      <w:r w:rsidDel="00000000" w:rsidR="00000000" w:rsidRPr="00000000">
        <w:rPr>
          <w:rtl w:val="0"/>
        </w:rPr>
        <w:t xml:space="preserve">4. Recomendaciones desde la perspectiva de Relaciones Internacionales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Fortalecer la cooperación con organismos internacionales para mejorar la regulación financiera.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Impulsar programas de educación financiera que promuevan el uso responsable del crédito.</w:t>
      </w:r>
    </w:p>
    <w:p w:rsidR="00000000" w:rsidDel="00000000" w:rsidP="00000000" w:rsidRDefault="00000000" w:rsidRPr="00000000" w14:paraId="00000016">
      <w:pPr>
        <w:pStyle w:val="Heading2"/>
        <w:rPr/>
      </w:pPr>
      <w:r w:rsidDel="00000000" w:rsidR="00000000" w:rsidRPr="00000000">
        <w:rPr>
          <w:rtl w:val="0"/>
        </w:rPr>
        <w:t xml:space="preserve">Conclusión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La baja morosidad fortalece la imagen de Paraguay como una economía con estabilidad financiera. Desde las Relaciones Internacionales, este tipo de indicadores contribuye a generar mayor confianza para la inversión y la cooperación económica regional.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