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Trabajo Práctico Semanal</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Carrera: </w:t>
      </w:r>
      <w:r w:rsidDel="00000000" w:rsidR="00000000" w:rsidRPr="00000000">
        <w:rPr>
          <w:rFonts w:ascii="Times New Roman" w:cs="Times New Roman" w:eastAsia="Times New Roman" w:hAnsi="Times New Roman"/>
          <w:rtl w:val="0"/>
        </w:rPr>
        <w:t xml:space="preserve">Lic. en Relaciones Internacionales</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Materia: </w:t>
      </w:r>
      <w:r w:rsidDel="00000000" w:rsidR="00000000" w:rsidRPr="00000000">
        <w:rPr>
          <w:rFonts w:ascii="Times New Roman" w:cs="Times New Roman" w:eastAsia="Times New Roman" w:hAnsi="Times New Roman"/>
          <w:rtl w:val="0"/>
        </w:rPr>
        <w:t xml:space="preserve">Economía IV</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Alumna: </w:t>
      </w:r>
      <w:r w:rsidDel="00000000" w:rsidR="00000000" w:rsidRPr="00000000">
        <w:rPr>
          <w:rFonts w:ascii="Times New Roman" w:cs="Times New Roman" w:eastAsia="Times New Roman" w:hAnsi="Times New Roman"/>
          <w:rtl w:val="0"/>
        </w:rPr>
        <w:t xml:space="preserve">Araceli Alejandra Paredes Sugastti</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Noticia seleccionada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Título:</w:t>
      </w:r>
      <w:r w:rsidDel="00000000" w:rsidR="00000000" w:rsidRPr="00000000">
        <w:rPr>
          <w:rFonts w:ascii="Times New Roman" w:cs="Times New Roman" w:eastAsia="Times New Roman" w:hAnsi="Times New Roman"/>
          <w:rtl w:val="0"/>
        </w:rPr>
        <w:t xml:space="preserve"> “Paraguay, con107 puntos, entre los de menos riesgo país de la región” </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Medio:</w:t>
      </w:r>
      <w:r w:rsidDel="00000000" w:rsidR="00000000" w:rsidRPr="00000000">
        <w:rPr>
          <w:rFonts w:ascii="Times New Roman" w:cs="Times New Roman" w:eastAsia="Times New Roman" w:hAnsi="Times New Roman"/>
          <w:rtl w:val="0"/>
        </w:rPr>
        <w:t xml:space="preserve"> ABC Color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Fecha de publicación:</w:t>
      </w:r>
      <w:r w:rsidDel="00000000" w:rsidR="00000000" w:rsidRPr="00000000">
        <w:rPr>
          <w:rFonts w:ascii="Times New Roman" w:cs="Times New Roman" w:eastAsia="Times New Roman" w:hAnsi="Times New Roman"/>
          <w:rtl w:val="0"/>
        </w:rPr>
        <w:t xml:space="preserve"> 7 de septiembre de 2026 </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Resumen </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los últimos reportes del mercado financiero regional citados, Paraguay registró un indicar de riesgo de 107 puntos básicos (EMBI), consolidándose como uno de los países con menos percepción de riesgo financiero de la región sudamericana. Este resultado refleja la confianza de los inversionistas internacionales en la solidez de las variables macroeconómicas del país, caracterizadas por una inflación bajo control (que descendió a 1,5% interanual en agosto de 2026, por debajo de la meta del Banco Central del Paraguay) una tasa política monetaria estable.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Vocabularios desconocidos </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Riesgo país (EMBI):</w:t>
      </w:r>
      <w:r w:rsidDel="00000000" w:rsidR="00000000" w:rsidRPr="00000000">
        <w:rPr>
          <w:rFonts w:ascii="Times New Roman" w:cs="Times New Roman" w:eastAsia="Times New Roman" w:hAnsi="Times New Roman"/>
          <w:rtl w:val="0"/>
        </w:rPr>
        <w:t xml:space="preserve"> índice elaborado por instituciones financieras internacionales que mide la diferencia de rendimiento entre los bonos soberanos de un país emergente, sirviendo como referencia para inversiones en deuda pública internacional.</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Puntos básicos:</w:t>
      </w:r>
      <w:r w:rsidDel="00000000" w:rsidR="00000000" w:rsidRPr="00000000">
        <w:rPr>
          <w:rFonts w:ascii="Times New Roman" w:cs="Times New Roman" w:eastAsia="Times New Roman" w:hAnsi="Times New Roman"/>
          <w:rtl w:val="0"/>
        </w:rPr>
        <w:t xml:space="preserve"> unidad de medida utilizada en finanzas para expresar diferencias o variaciones porcentuales. </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Tasa política monetaria:</w:t>
      </w:r>
      <w:r w:rsidDel="00000000" w:rsidR="00000000" w:rsidRPr="00000000">
        <w:rPr>
          <w:rFonts w:ascii="Times New Roman" w:cs="Times New Roman" w:eastAsia="Times New Roman" w:hAnsi="Times New Roman"/>
          <w:rtl w:val="0"/>
        </w:rPr>
        <w:t xml:space="preserve"> tasa de interés de referencia fijada por el Banco Central del Paraguay, para regular la liquidez.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Conclusión </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mantenimiento de un riesgo país en torno 107 puntos reafirma la estabilidad macroeconómica y la disciplina financiera del Paraguay frente al contexto regional volátil. Este bajo nivel de riesgo potencia la credibilidad internacional del país, crea un entorno predecible y propicio para el desarrollo de proyectos de inversión a largo plazo.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Recomendación </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sugiere al gobierno y a las autoridades económicas aprovechar este escenario favorable de bajo riesgo soberano para impulsar reformas estructurales pendientes. </w:t>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PY"/>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