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48"/>
          <w:szCs w:val="48"/>
          <w:rtl w:val="0"/>
        </w:rPr>
        <w:t xml:space="preserve">Economía 02/09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i w:val="1"/>
          <w:iCs w:val="1"/>
          <w:color w:val="555555"/>
          <w:sz w:val="24"/>
          <w:szCs w:val="24"/>
          <w:rtl w:val="0"/>
        </w:rPr>
        <w:t xml:space="preserve">Análisis de Noticia: 60% de solicitudes de créditos para viviendas son rechazadas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Resumen breve de la noticia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Seis de cada diez personas (60%) que solicitan préstamos para la vivienda ante los programas del Ministerio de Urbanismo, Vivienda y Hábitat (MUVH), como 'Che Róga Porã', resultan rechazadas por no cumplir los requisitos financieros. Según la Agencia Financiera de Desarrollo (AFD), la principal causa de rechazo (35%) es el elevado nivel de endeudamiento de los postulantes, seguida por el incumplimiento de las políticas de las Instituciones Financieras Intermediarias (IFIs), mora o antecedentes (25%), no cumplir criterios de elegibilidad (15%), documentación incompleta (10%), falta de respuesta del cliente (10%) e informalidad laboral (5%). Para evitar el sobreendeudamiento, la AFD solicita que la relación cuota/ingreso no supere el 40%, mientras que el nivel de compromisos totales no debe sobrepasar del 50% al 60% de los ingresos. Asimismo, se destaca la importancia crítica de un buen historial crediticio registrado en el Banco Central del Paraguay (BCP) y en los burós de crédito privados.</w:t>
      </w:r>
    </w:p>
    <w:p w:rsidR="00000000" w:rsidDel="00000000" w:rsidP="00000000" w:rsidRDefault="00000000" w:rsidRPr="00000000" w14:paraId="00000005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Vocabulario económico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IFI (Institución Financiera Intermediaria):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Entidad bancaria, financiera o cooperativa habilitada para canalizar recursos y otorgar créditos a los beneficiarios finales.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Nivel de Endeudamiento: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Ratio o porcentaje que mide la proporción de los ingresos de una persona asignada al pago de deudas y compromisos financieros.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AFD (Agencia Financiera de Desarrollo):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Banca pública de segundo piso en Paraguay encargada de impulsar el desarrollo económico mediante el financiamiento a través de IFIs.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Historial Crediticio: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Registro detallado del comportamiento de pago de un individuo, almacenado en centrales de riesgo para evaluar la solvencia y riesgo financiero.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Relación Cuota/Ingreso: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Indicador prudencial que limita el monto máximo de la cuota mensual de un préstamo en función de los ingresos netos del solicitante.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66cc"/>
          <w:sz w:val="22"/>
          <w:szCs w:val="22"/>
          <w:u w:val="none"/>
          <w:shd w:fill="auto" w:val="clear"/>
          <w:vertAlign w:val="baseline"/>
          <w:rtl w:val="0"/>
        </w:rPr>
        <w:t xml:space="preserve">Informalidad Laboral: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Condición del trabajador cuyos ingresos no están debidamente documentados, facturados o registrados ante el sistema tributario y de seguridad social.</w:t>
      </w:r>
    </w:p>
    <w:p w:rsidR="00000000" w:rsidDel="00000000" w:rsidP="00000000" w:rsidRDefault="00000000" w:rsidRPr="00000000" w14:paraId="0000000C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Recomendaciones desde la carrera de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1. Fomento de Programas de Cooperación Internacional en Educación Financiera: </w:t>
      </w:r>
      <w:r w:rsidDel="00000000" w:rsidR="00000000" w:rsidRPr="00000000">
        <w:rPr>
          <w:rtl w:val="0"/>
        </w:rPr>
        <w:t xml:space="preserve">Gestionar alianzas con organismos multilaterales (como el BID o la CAF) para implementar programas nacionales de alfabetización financiera y estructuración de deudas dirigidos a familias de ingresos medios y bajos.</w:t>
      </w:r>
    </w:p>
    <w:p w:rsidR="00000000" w:rsidDel="00000000" w:rsidP="00000000" w:rsidRDefault="00000000" w:rsidRPr="00000000" w14:paraId="0000000E">
      <w:pPr>
        <w:spacing w:after="120" w:line="276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2. Alineación con Objetivos de Desarrollo Sostenible (ODS): </w:t>
      </w:r>
      <w:r w:rsidDel="00000000" w:rsidR="00000000" w:rsidRPr="00000000">
        <w:rPr>
          <w:rtl w:val="0"/>
        </w:rPr>
        <w:t xml:space="preserve">Vincular las políticas de vivienda social (ODS 11: Ciudades y Comunidades Sostenibles) con instrumentos internacionales de financiamiento verde y desarrollo urbano incluyente.</w:t>
      </w:r>
    </w:p>
    <w:p w:rsidR="00000000" w:rsidDel="00000000" w:rsidP="00000000" w:rsidRDefault="00000000" w:rsidRPr="00000000" w14:paraId="0000000F">
      <w:pPr>
        <w:spacing w:after="120" w:line="276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3. Estrategias de Formalización e Inclusión Financiera: </w:t>
      </w:r>
      <w:r w:rsidDel="00000000" w:rsidR="00000000" w:rsidRPr="00000000">
        <w:rPr>
          <w:rtl w:val="0"/>
        </w:rPr>
        <w:t xml:space="preserve">Analizar e integrar buenas prácticas regionales de inclusión financiera que faciliten la transición de trabajadores informales hacia el sistema bancario formal mediante incentivos tributarios y crediticios.</w:t>
      </w:r>
    </w:p>
    <w:p w:rsidR="00000000" w:rsidDel="00000000" w:rsidP="00000000" w:rsidRDefault="00000000" w:rsidRPr="00000000" w14:paraId="00000010">
      <w:pPr>
        <w:spacing w:after="120" w:line="276" w:lineRule="auto"/>
        <w:ind w:left="360" w:firstLine="0"/>
        <w:rPr/>
      </w:pPr>
      <w:r w:rsidDel="00000000" w:rsidR="00000000" w:rsidRPr="00000000">
        <w:rPr>
          <w:b w:val="1"/>
          <w:bCs w:val="1"/>
          <w:color w:val="1b365d"/>
          <w:rtl w:val="0"/>
        </w:rPr>
        <w:t xml:space="preserve">4. Atracción de Fondos Financieros Internacionales para Vivienda Social: </w:t>
      </w:r>
      <w:r w:rsidDel="00000000" w:rsidR="00000000" w:rsidRPr="00000000">
        <w:rPr>
          <w:rtl w:val="0"/>
        </w:rPr>
        <w:t xml:space="preserve">Fortalecer la transparencia y solvencia de los programas estatales para atraer inversión de impacto y créditos internacionales concesionales que reduzcan el costo del financiamiento habitacional.</w:t>
      </w:r>
    </w:p>
    <w:p w:rsidR="00000000" w:rsidDel="00000000" w:rsidP="00000000" w:rsidRDefault="00000000" w:rsidRPr="00000000" w14:paraId="00000011">
      <w:pPr>
        <w:keepNext w:val="1"/>
        <w:spacing w:after="120" w:before="360" w:lineRule="auto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Breve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El alto porcentaje de rechazo en los créditos habitacionales evidencia una profunda brecha de educación financiera y un sobreendeudamiento estructural en la población. Aunque existen programas estatales de acceso a la vivienda, su efectividad requiere el fortalecimiento de la salud financiera de las familias, la formalización laboral y la implementación de políticas públicas orientadas al reordenamiento de deudas para garantizar el acceso sostenible al crédito.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