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0" w:before="0" w:lineRule="auto"/>
        <w:rPr/>
      </w:pPr>
      <w:r w:rsidDel="00000000" w:rsidR="00000000" w:rsidRPr="00000000">
        <w:rPr>
          <w:rFonts w:ascii="Calibri" w:cs="Calibri" w:eastAsia="Calibri" w:hAnsi="Calibri"/>
          <w:b w:val="1"/>
          <w:bCs w:val="1"/>
          <w:color w:val="1b365d"/>
          <w:sz w:val="48"/>
          <w:szCs w:val="48"/>
          <w:rtl w:val="0"/>
        </w:rPr>
        <w:t xml:space="preserve">Economía 19/08</w:t>
      </w:r>
      <w:r w:rsidDel="00000000" w:rsidR="00000000" w:rsidRPr="00000000">
        <w:rPr>
          <w:rtl w:val="0"/>
        </w:rPr>
      </w:r>
    </w:p>
    <w:p w:rsidR="00000000" w:rsidDel="00000000" w:rsidP="00000000" w:rsidRDefault="00000000" w:rsidRPr="00000000" w14:paraId="00000002">
      <w:pPr>
        <w:spacing w:after="360" w:lineRule="auto"/>
        <w:rPr/>
      </w:pPr>
      <w:r w:rsidDel="00000000" w:rsidR="00000000" w:rsidRPr="00000000">
        <w:rPr>
          <w:i w:val="1"/>
          <w:iCs w:val="1"/>
          <w:color w:val="555555"/>
          <w:sz w:val="24"/>
          <w:szCs w:val="24"/>
          <w:rtl w:val="0"/>
        </w:rPr>
        <w:t xml:space="preserve">Análisis de Noticia: Acuerdo entre DNIT y Bancos sobre cruce de datos</w:t>
      </w:r>
      <w:r w:rsidDel="00000000" w:rsidR="00000000" w:rsidRPr="00000000">
        <w:rPr>
          <w:rtl w:val="0"/>
        </w:rPr>
      </w:r>
    </w:p>
    <w:p w:rsidR="00000000" w:rsidDel="00000000" w:rsidP="00000000" w:rsidRDefault="00000000" w:rsidRPr="00000000" w14:paraId="00000003">
      <w:pPr>
        <w:keepNext w:val="1"/>
        <w:spacing w:after="120" w:before="360" w:lineRule="auto"/>
        <w:rPr/>
      </w:pPr>
      <w:r w:rsidDel="00000000" w:rsidR="00000000" w:rsidRPr="00000000">
        <w:rPr>
          <w:b w:val="1"/>
          <w:bCs w:val="1"/>
          <w:color w:val="1b365d"/>
          <w:sz w:val="28"/>
          <w:szCs w:val="28"/>
          <w:rtl w:val="0"/>
        </w:rPr>
        <w:t xml:space="preserve">Resumen breve de la noticia</w:t>
      </w:r>
      <w:r w:rsidDel="00000000" w:rsidR="00000000" w:rsidRPr="00000000">
        <w:rPr>
          <w:rtl w:val="0"/>
        </w:rPr>
      </w:r>
    </w:p>
    <w:p w:rsidR="00000000" w:rsidDel="00000000" w:rsidP="00000000" w:rsidRDefault="00000000" w:rsidRPr="00000000" w14:paraId="00000004">
      <w:pPr>
        <w:spacing w:after="240" w:line="276" w:lineRule="auto"/>
        <w:rPr/>
      </w:pPr>
      <w:r w:rsidDel="00000000" w:rsidR="00000000" w:rsidRPr="00000000">
        <w:rPr>
          <w:rtl w:val="0"/>
        </w:rPr>
        <w:t xml:space="preserve">La Dirección Nacional de Ingresos Tributarios (DNIT) de Paraguay y la Asociación de Bancos del Paraguay (Asoban) avanzan en un convenio de intercambio de información mediante una plataforma tecnológica interconectada por web service. Este mecanismo agilizará el acceso de la administración tributaria a los movimientos bancarios de los contribuyentes durante los procesos de fiscalización, manteniendo la normativa vigente desde 2020. Asimismo, los bancos podrán consultar las declaraciones juradas de impuestos (Renta o IVA) únicamente si el contribuyente lo autoriza expresamente. Óscar Orué, titular de la DNIT, aclaró que no se revisarán individualmente todas las transferencias ni habrá un control masivo, sino que se comparará el perfil del contribuyente con sus declaraciones tributarias. Además, aseguró que la información estará trazable y restringida solo a funcionarios autorizados según sus funciones.</w:t>
      </w:r>
    </w:p>
    <w:p w:rsidR="00000000" w:rsidDel="00000000" w:rsidP="00000000" w:rsidRDefault="00000000" w:rsidRPr="00000000" w14:paraId="00000005">
      <w:pPr>
        <w:keepNext w:val="1"/>
        <w:spacing w:after="120" w:before="360" w:lineRule="auto"/>
        <w:rPr/>
      </w:pPr>
      <w:r w:rsidDel="00000000" w:rsidR="00000000" w:rsidRPr="00000000">
        <w:rPr>
          <w:b w:val="1"/>
          <w:bCs w:val="1"/>
          <w:color w:val="1b365d"/>
          <w:sz w:val="28"/>
          <w:szCs w:val="28"/>
          <w:rtl w:val="0"/>
        </w:rPr>
        <w:t xml:space="preserve">Vocabulario económico</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66cc"/>
          <w:sz w:val="22"/>
          <w:szCs w:val="22"/>
          <w:u w:val="none"/>
          <w:shd w:fill="auto" w:val="clear"/>
          <w:vertAlign w:val="baseline"/>
          <w:rtl w:val="0"/>
        </w:rPr>
        <w:t xml:space="preserve">DNIT (Dirección Nacional de Ingresos Tributarios):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Órgano estatal encargado de la recaudación, fiscalización y aplicación de las tributaciones e impuestos nacionales.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66cc"/>
          <w:sz w:val="22"/>
          <w:szCs w:val="22"/>
          <w:u w:val="none"/>
          <w:shd w:fill="auto" w:val="clear"/>
          <w:vertAlign w:val="baseline"/>
          <w:rtl w:val="0"/>
        </w:rPr>
        <w:t xml:space="preserve">Contribuyente: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Persona física o jurídica obligada por ley al pago de impuestos u obligaciones tributarias para el sostenimiento del Estado.</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66cc"/>
          <w:sz w:val="22"/>
          <w:szCs w:val="22"/>
          <w:u w:val="none"/>
          <w:shd w:fill="auto" w:val="clear"/>
          <w:vertAlign w:val="baseline"/>
          <w:rtl w:val="0"/>
        </w:rPr>
        <w:t xml:space="preserve">Fiscalización Tributaria: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Procedimiento mediante el cual la autoridad fiscal inspecciona y verifica que los contribuyentes hayan determinado y pagado correctamente sus tributos.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66cc"/>
          <w:sz w:val="22"/>
          <w:szCs w:val="22"/>
          <w:u w:val="none"/>
          <w:shd w:fill="auto" w:val="clear"/>
          <w:vertAlign w:val="baseline"/>
          <w:rtl w:val="0"/>
        </w:rPr>
        <w:t xml:space="preserve">Declaración Jurada (IVA / Renta):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Documento oficial firmado por el contribuyente en el que se detallan ingresos, egresos y operaciones financieras para determinar el tributo a pagar.</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66cc"/>
          <w:sz w:val="22"/>
          <w:szCs w:val="22"/>
          <w:u w:val="none"/>
          <w:shd w:fill="auto" w:val="clear"/>
          <w:vertAlign w:val="baseline"/>
          <w:rtl w:val="0"/>
        </w:rPr>
        <w:t xml:space="preserve">Trazabilidad: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Capacidad de rastrear el historial, ubicación y acceso a un dato o transacción dentro de un sistema informático o administrativo.</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66cc"/>
          <w:sz w:val="22"/>
          <w:szCs w:val="22"/>
          <w:u w:val="none"/>
          <w:shd w:fill="auto" w:val="clear"/>
          <w:vertAlign w:val="baseline"/>
          <w:rtl w:val="0"/>
        </w:rPr>
        <w:t xml:space="preserve">Ingreso Gravado: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Ganancia u operación financiera que está sujeta al pago de un impuesto según la legislación vigente.</w:t>
      </w:r>
    </w:p>
    <w:p w:rsidR="00000000" w:rsidDel="00000000" w:rsidP="00000000" w:rsidRDefault="00000000" w:rsidRPr="00000000" w14:paraId="0000000C">
      <w:pPr>
        <w:keepNext w:val="1"/>
        <w:spacing w:after="120" w:before="360" w:lineRule="auto"/>
        <w:rPr/>
      </w:pPr>
      <w:r w:rsidDel="00000000" w:rsidR="00000000" w:rsidRPr="00000000">
        <w:rPr>
          <w:b w:val="1"/>
          <w:bCs w:val="1"/>
          <w:color w:val="1b365d"/>
          <w:sz w:val="28"/>
          <w:szCs w:val="28"/>
          <w:rtl w:val="0"/>
        </w:rPr>
        <w:t xml:space="preserve">Recomendaciones desde la carrera de Relaciones Internacionales</w:t>
      </w:r>
      <w:r w:rsidDel="00000000" w:rsidR="00000000" w:rsidRPr="00000000">
        <w:rPr>
          <w:rtl w:val="0"/>
        </w:rPr>
      </w:r>
    </w:p>
    <w:p w:rsidR="00000000" w:rsidDel="00000000" w:rsidP="00000000" w:rsidRDefault="00000000" w:rsidRPr="00000000" w14:paraId="0000000D">
      <w:pPr>
        <w:spacing w:after="120" w:line="276" w:lineRule="auto"/>
        <w:ind w:left="360" w:firstLine="0"/>
        <w:rPr/>
      </w:pPr>
      <w:r w:rsidDel="00000000" w:rsidR="00000000" w:rsidRPr="00000000">
        <w:rPr>
          <w:b w:val="1"/>
          <w:bCs w:val="1"/>
          <w:color w:val="1b365d"/>
          <w:rtl w:val="0"/>
        </w:rPr>
        <w:t xml:space="preserve">1. Alineación con Estándares Financieros Internacionales: </w:t>
      </w:r>
      <w:r w:rsidDel="00000000" w:rsidR="00000000" w:rsidRPr="00000000">
        <w:rPr>
          <w:rtl w:val="0"/>
        </w:rPr>
        <w:t xml:space="preserve">Promover la adopción de normativas como las recomendaciones del GAFI (Grupo de Acción Financiera Internacional) y el foro global de la OCDE sobre transparencia fiscal, fortaleciendo la reputación de Paraguay ante inversionistas extranjeros.</w:t>
      </w:r>
    </w:p>
    <w:p w:rsidR="00000000" w:rsidDel="00000000" w:rsidP="00000000" w:rsidRDefault="00000000" w:rsidRPr="00000000" w14:paraId="0000000E">
      <w:pPr>
        <w:spacing w:after="120" w:line="276" w:lineRule="auto"/>
        <w:ind w:left="360" w:firstLine="0"/>
        <w:rPr/>
      </w:pPr>
      <w:r w:rsidDel="00000000" w:rsidR="00000000" w:rsidRPr="00000000">
        <w:rPr>
          <w:b w:val="1"/>
          <w:bCs w:val="1"/>
          <w:color w:val="1b365d"/>
          <w:rtl w:val="0"/>
        </w:rPr>
        <w:t xml:space="preserve">2. Garantía de Seguridad de Datos Transfronteriza: </w:t>
      </w:r>
      <w:r w:rsidDel="00000000" w:rsidR="00000000" w:rsidRPr="00000000">
        <w:rPr>
          <w:rtl w:val="0"/>
        </w:rPr>
        <w:t xml:space="preserve">Establecer protocolos estrictos de ciberseguridad e interconexión internacional que aseguren la privacidad bancaria frente a posibles ataques o fuga de datos en plataformas digitales compartidas.</w:t>
      </w:r>
    </w:p>
    <w:p w:rsidR="00000000" w:rsidDel="00000000" w:rsidP="00000000" w:rsidRDefault="00000000" w:rsidRPr="00000000" w14:paraId="0000000F">
      <w:pPr>
        <w:spacing w:after="120" w:line="276" w:lineRule="auto"/>
        <w:ind w:left="360" w:firstLine="0"/>
        <w:rPr/>
      </w:pPr>
      <w:r w:rsidDel="00000000" w:rsidR="00000000" w:rsidRPr="00000000">
        <w:rPr>
          <w:b w:val="1"/>
          <w:bCs w:val="1"/>
          <w:color w:val="1b365d"/>
          <w:rtl w:val="0"/>
        </w:rPr>
        <w:t xml:space="preserve">3. Atracción de Inversión Extranjera Directa (IED): </w:t>
      </w:r>
      <w:r w:rsidDel="00000000" w:rsidR="00000000" w:rsidRPr="00000000">
        <w:rPr>
          <w:rtl w:val="0"/>
        </w:rPr>
        <w:t xml:space="preserve">Transmitir predictibilidad jurídica y transparencia fiscal en el exterior mediante delegaciones diplomáticas y de comercio exterior, asegurando que las medidas no constituyen un sofocamiento o persecución financiera.</w:t>
      </w:r>
    </w:p>
    <w:p w:rsidR="00000000" w:rsidDel="00000000" w:rsidP="00000000" w:rsidRDefault="00000000" w:rsidRPr="00000000" w14:paraId="00000010">
      <w:pPr>
        <w:spacing w:after="120" w:line="276" w:lineRule="auto"/>
        <w:ind w:left="360" w:firstLine="0"/>
        <w:rPr/>
      </w:pPr>
      <w:r w:rsidDel="00000000" w:rsidR="00000000" w:rsidRPr="00000000">
        <w:rPr>
          <w:b w:val="1"/>
          <w:bCs w:val="1"/>
          <w:color w:val="1b365d"/>
          <w:rtl w:val="0"/>
        </w:rPr>
        <w:t xml:space="preserve">4. Cooperación Internacional Tributaria: </w:t>
      </w:r>
      <w:r w:rsidDel="00000000" w:rsidR="00000000" w:rsidRPr="00000000">
        <w:rPr>
          <w:rtl w:val="0"/>
        </w:rPr>
        <w:t xml:space="preserve">Impulsar tratados de doble imposición e intercambio de información financiera con países socios de la región (Mercosur) para combatir la evasión fiscal transfronteriza y la informalidad.</w:t>
      </w:r>
    </w:p>
    <w:p w:rsidR="00000000" w:rsidDel="00000000" w:rsidP="00000000" w:rsidRDefault="00000000" w:rsidRPr="00000000" w14:paraId="00000011">
      <w:pPr>
        <w:keepNext w:val="1"/>
        <w:spacing w:after="120" w:before="360" w:lineRule="auto"/>
        <w:rPr/>
      </w:pPr>
      <w:r w:rsidDel="00000000" w:rsidR="00000000" w:rsidRPr="00000000">
        <w:rPr>
          <w:b w:val="1"/>
          <w:bCs w:val="1"/>
          <w:color w:val="1b365d"/>
          <w:sz w:val="28"/>
          <w:szCs w:val="28"/>
          <w:rtl w:val="0"/>
        </w:rPr>
        <w:t xml:space="preserve">Breve Conclusión</w:t>
      </w:r>
      <w:r w:rsidDel="00000000" w:rsidR="00000000" w:rsidRPr="00000000">
        <w:rPr>
          <w:rtl w:val="0"/>
        </w:rPr>
      </w:r>
    </w:p>
    <w:p w:rsidR="00000000" w:rsidDel="00000000" w:rsidP="00000000" w:rsidRDefault="00000000" w:rsidRPr="00000000" w14:paraId="00000012">
      <w:pPr>
        <w:spacing w:after="240" w:line="276" w:lineRule="auto"/>
        <w:rPr/>
      </w:pPr>
      <w:r w:rsidDel="00000000" w:rsidR="00000000" w:rsidRPr="00000000">
        <w:rPr>
          <w:rtl w:val="0"/>
        </w:rPr>
        <w:t xml:space="preserve">El acuerdo entre la DNIT y el sector bancario representa un paso hacia la modernización, digitalización e integración tecnológica del sistema tributario. Aunque agiliza las herramientas de control del Estado, la medida busca mantener un equilibrio entre la fiscalización eficiente de perfiles financieros con inconsistencias y la protección del derecho a la defensa y la privacidad del contribuyente.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3333"/>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