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sz w:val="24"/>
          <w:szCs w:val="24"/>
          <w:rtl w:val="0"/>
        </w:rPr>
        <w:t xml:space="preserve">Universidad Nacional de Itapúa</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0"/>
          <w:bCs w:val="0"/>
          <w:sz w:val="22"/>
          <w:szCs w:val="22"/>
          <w:rtl w:val="0"/>
        </w:rPr>
        <w:t xml:space="preserve">Facultad de Humanidades, Ciencias Sociales y Cultura Guaraní – Licenciatura en Relaciones Internacionales</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b w:val="1"/>
          <w:bCs w:val="1"/>
          <w:sz w:val="24"/>
          <w:szCs w:val="24"/>
          <w:rtl w:val="0"/>
        </w:rPr>
        <w:t xml:space="preserve">Economía IV</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Calibri" w:cs="Calibri" w:eastAsia="Calibri" w:hAnsi="Calibri"/>
          <w:b w:val="1"/>
          <w:bCs w:val="1"/>
          <w:sz w:val="22"/>
          <w:szCs w:val="22"/>
          <w:rtl w:val="0"/>
        </w:rPr>
        <w:t xml:space="preserve">Prof. Dra. </w:t>
      </w:r>
      <w:r w:rsidDel="00000000" w:rsidR="00000000" w:rsidRPr="00000000">
        <w:rPr>
          <w:rFonts w:ascii="Calibri" w:cs="Calibri" w:eastAsia="Calibri" w:hAnsi="Calibri"/>
          <w:sz w:val="22"/>
          <w:szCs w:val="22"/>
          <w:rtl w:val="0"/>
        </w:rPr>
        <w:t xml:space="preserve">Mirian Fernandez Franco</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Calibri" w:cs="Calibri" w:eastAsia="Calibri" w:hAnsi="Calibri"/>
          <w:b w:val="1"/>
          <w:bCs w:val="1"/>
          <w:sz w:val="22"/>
          <w:szCs w:val="22"/>
          <w:rtl w:val="0"/>
        </w:rPr>
        <w:t xml:space="preserve">Alumna: </w:t>
      </w:r>
      <w:r w:rsidDel="00000000" w:rsidR="00000000" w:rsidRPr="00000000">
        <w:rPr>
          <w:rFonts w:ascii="Calibri" w:cs="Calibri" w:eastAsia="Calibri" w:hAnsi="Calibri"/>
          <w:sz w:val="22"/>
          <w:szCs w:val="22"/>
          <w:rtl w:val="0"/>
        </w:rPr>
        <w:t xml:space="preserve">Dahiana Paiva</w:t>
      </w:r>
      <w:r w:rsidDel="00000000" w:rsidR="00000000" w:rsidRPr="00000000">
        <w:rPr>
          <w:rtl w:val="0"/>
        </w:rPr>
      </w:r>
    </w:p>
    <w:p w:rsidR="00000000" w:rsidDel="00000000" w:rsidP="00000000" w:rsidRDefault="00000000" w:rsidRPr="00000000" w14:paraId="00000006">
      <w:pPr>
        <w:spacing w:after="300" w:lineRule="auto"/>
        <w:rPr/>
      </w:pPr>
      <w:r w:rsidDel="00000000" w:rsidR="00000000" w:rsidRPr="00000000">
        <w:rPr>
          <w:rFonts w:ascii="Calibri" w:cs="Calibri" w:eastAsia="Calibri" w:hAnsi="Calibri"/>
          <w:b w:val="1"/>
          <w:bCs w:val="1"/>
          <w:sz w:val="22"/>
          <w:szCs w:val="22"/>
          <w:rtl w:val="0"/>
        </w:rPr>
        <w:t xml:space="preserve">Trabajo Práctico: </w:t>
      </w:r>
      <w:r w:rsidDel="00000000" w:rsidR="00000000" w:rsidRPr="00000000">
        <w:rPr>
          <w:rFonts w:ascii="Calibri" w:cs="Calibri" w:eastAsia="Calibri" w:hAnsi="Calibri"/>
          <w:sz w:val="22"/>
          <w:szCs w:val="22"/>
          <w:rtl w:val="0"/>
        </w:rPr>
        <w:t xml:space="preserve">Análisis de Noticia Económica Nacional</w:t>
      </w:r>
      <w:r w:rsidDel="00000000" w:rsidR="00000000" w:rsidRPr="00000000">
        <w:rPr>
          <w:rtl w:val="0"/>
        </w:rPr>
      </w:r>
    </w:p>
    <w:p w:rsidR="00000000" w:rsidDel="00000000" w:rsidP="00000000" w:rsidRDefault="00000000" w:rsidRPr="00000000" w14:paraId="00000007">
      <w:pPr>
        <w:spacing w:after="120" w:before="200" w:lineRule="auto"/>
        <w:rPr/>
      </w:pPr>
      <w:r w:rsidDel="00000000" w:rsidR="00000000" w:rsidRPr="00000000">
        <w:rPr>
          <w:rFonts w:ascii="Calibri" w:cs="Calibri" w:eastAsia="Calibri" w:hAnsi="Calibri"/>
          <w:b w:val="1"/>
          <w:bCs w:val="1"/>
          <w:sz w:val="22"/>
          <w:szCs w:val="22"/>
          <w:rtl w:val="0"/>
        </w:rPr>
        <w:t xml:space="preserve">1. Noticia seleccionada</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Calibri" w:cs="Calibri" w:eastAsia="Calibri" w:hAnsi="Calibri"/>
          <w:b w:val="1"/>
          <w:bCs w:val="1"/>
          <w:sz w:val="22"/>
          <w:szCs w:val="22"/>
          <w:rtl w:val="0"/>
        </w:rPr>
        <w:t xml:space="preserve">Título: </w:t>
      </w:r>
      <w:r w:rsidDel="00000000" w:rsidR="00000000" w:rsidRPr="00000000">
        <w:rPr>
          <w:rFonts w:ascii="Calibri" w:cs="Calibri" w:eastAsia="Calibri" w:hAnsi="Calibri"/>
          <w:sz w:val="22"/>
          <w:szCs w:val="22"/>
          <w:rtl w:val="0"/>
        </w:rPr>
        <w:t xml:space="preserve">"Cámara de Comercio Paraguayo Americana advierte por qué la caída del dólar afecta a las inversiones"</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Calibri" w:cs="Calibri" w:eastAsia="Calibri" w:hAnsi="Calibri"/>
          <w:b w:val="1"/>
          <w:bCs w:val="1"/>
          <w:sz w:val="22"/>
          <w:szCs w:val="22"/>
          <w:rtl w:val="0"/>
        </w:rPr>
        <w:t xml:space="preserve">Diario / Medio: </w:t>
      </w:r>
      <w:r w:rsidDel="00000000" w:rsidR="00000000" w:rsidRPr="00000000">
        <w:rPr>
          <w:rFonts w:ascii="Calibri" w:cs="Calibri" w:eastAsia="Calibri" w:hAnsi="Calibri"/>
          <w:sz w:val="22"/>
          <w:szCs w:val="22"/>
          <w:rtl w:val="0"/>
        </w:rPr>
        <w:t xml:space="preserve">ABC Color</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b w:val="1"/>
          <w:bCs w:val="1"/>
          <w:sz w:val="22"/>
          <w:szCs w:val="22"/>
          <w:rtl w:val="0"/>
        </w:rPr>
        <w:t xml:space="preserve">Autor: </w:t>
      </w:r>
      <w:r w:rsidDel="00000000" w:rsidR="00000000" w:rsidRPr="00000000">
        <w:rPr>
          <w:rFonts w:ascii="Calibri" w:cs="Calibri" w:eastAsia="Calibri" w:hAnsi="Calibri"/>
          <w:sz w:val="22"/>
          <w:szCs w:val="22"/>
          <w:rtl w:val="0"/>
        </w:rPr>
        <w:t xml:space="preserve">Rossana Riveros</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Fonts w:ascii="Calibri" w:cs="Calibri" w:eastAsia="Calibri" w:hAnsi="Calibri"/>
          <w:b w:val="1"/>
          <w:bCs w:val="1"/>
          <w:sz w:val="22"/>
          <w:szCs w:val="22"/>
          <w:rtl w:val="0"/>
        </w:rPr>
        <w:t xml:space="preserve">Fecha de publicación: </w:t>
      </w:r>
      <w:r w:rsidDel="00000000" w:rsidR="00000000" w:rsidRPr="00000000">
        <w:rPr>
          <w:rFonts w:ascii="Calibri" w:cs="Calibri" w:eastAsia="Calibri" w:hAnsi="Calibri"/>
          <w:sz w:val="22"/>
          <w:szCs w:val="22"/>
          <w:rtl w:val="0"/>
        </w:rPr>
        <w:t xml:space="preserve">1 de septiembre de 2026</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0C">
            <w:pPr>
              <w:spacing w:after="80" w:lineRule="auto"/>
              <w:rPr/>
            </w:pPr>
            <w:r w:rsidDel="00000000" w:rsidR="00000000" w:rsidRPr="00000000">
              <w:rPr>
                <w:rFonts w:ascii="Calibri" w:cs="Calibri" w:eastAsia="Calibri" w:hAnsi="Calibri"/>
                <w:b w:val="1"/>
                <w:bCs w:val="1"/>
                <w:sz w:val="22"/>
                <w:szCs w:val="22"/>
                <w:rtl w:val="0"/>
              </w:rPr>
              <w:t xml:space="preserve">ABC Color</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Calibri" w:cs="Calibri" w:eastAsia="Calibri" w:hAnsi="Calibri"/>
                <w:color w:val="555555"/>
                <w:sz w:val="18"/>
                <w:szCs w:val="18"/>
                <w:rtl w:val="0"/>
              </w:rPr>
              <w:t xml:space="preserve">NEGOCIOS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Calibri" w:cs="Calibri" w:eastAsia="Calibri" w:hAnsi="Calibri"/>
                <w:b w:val="1"/>
                <w:bCs w:val="1"/>
                <w:sz w:val="24"/>
                <w:szCs w:val="24"/>
                <w:rtl w:val="0"/>
              </w:rPr>
              <w:t xml:space="preserve">Cámara de Comercio Paraguayo Americana advierte por qué la caída del dólar afecta a las inversiones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Calibri" w:cs="Calibri" w:eastAsia="Calibri" w:hAnsi="Calibri"/>
                <w:i w:val="1"/>
                <w:iCs w:val="1"/>
                <w:sz w:val="20"/>
                <w:szCs w:val="20"/>
                <w:rtl w:val="0"/>
              </w:rPr>
              <w:t xml:space="preserve">Por Rossana Riveros · 1 Sep, 2026 — 18:01</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rFonts w:ascii="Calibri" w:cs="Calibri" w:eastAsia="Calibri" w:hAnsi="Calibri"/>
                <w:sz w:val="20"/>
                <w:szCs w:val="20"/>
                <w:rtl w:val="0"/>
              </w:rPr>
              <w:t xml:space="preserve">La caída del dólar plantea un nuevo desafío para sectores vinculados a la inversión en Paraguay, debido a que varias actividades operan con contratos en moneda estadounidense, señaló Elías Saba, presidente de la Cámara de Comercio Paraguayo Americana (AmCham).</w:t>
            </w: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color w:val="555555"/>
                <w:sz w:val="18"/>
                <w:szCs w:val="18"/>
                <w:rtl w:val="0"/>
              </w:rPr>
              <w:t xml:space="preserve">Fuente: abc.com.py/negocios/2026/09/01</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p w:rsidR="00000000" w:rsidDel="00000000" w:rsidP="00000000" w:rsidRDefault="00000000" w:rsidRPr="00000000" w14:paraId="00000013">
      <w:pPr>
        <w:spacing w:after="120" w:before="200" w:lineRule="auto"/>
        <w:rPr/>
      </w:pPr>
      <w:r w:rsidDel="00000000" w:rsidR="00000000" w:rsidRPr="00000000">
        <w:rPr>
          <w:rFonts w:ascii="Calibri" w:cs="Calibri" w:eastAsia="Calibri" w:hAnsi="Calibri"/>
          <w:b w:val="1"/>
          <w:bCs w:val="1"/>
          <w:sz w:val="22"/>
          <w:szCs w:val="22"/>
          <w:rtl w:val="0"/>
        </w:rPr>
        <w:t xml:space="preserve">Resumen</w:t>
      </w:r>
      <w:r w:rsidDel="00000000" w:rsidR="00000000" w:rsidRPr="00000000">
        <w:rPr>
          <w:rtl w:val="0"/>
        </w:rPr>
      </w:r>
    </w:p>
    <w:p w:rsidR="00000000" w:rsidDel="00000000" w:rsidP="00000000" w:rsidRDefault="00000000" w:rsidRPr="00000000" w14:paraId="00000014">
      <w:pPr>
        <w:spacing w:after="200" w:lineRule="auto"/>
        <w:jc w:val="both"/>
        <w:rPr/>
      </w:pPr>
      <w:r w:rsidDel="00000000" w:rsidR="00000000" w:rsidRPr="00000000">
        <w:rPr>
          <w:rFonts w:ascii="Calibri" w:cs="Calibri" w:eastAsia="Calibri" w:hAnsi="Calibri"/>
          <w:sz w:val="22"/>
          <w:szCs w:val="22"/>
          <w:rtl w:val="0"/>
        </w:rPr>
        <w:t xml:space="preserve">La nota informa que el dólar sigue cayendo en Paraguay, con una baja acumulada cercana al 20% en el último año, lo que ha llevado a distintos gremios a reclamar acciones del Banco Central del Paraguay (BCP). Elías Saba, presidente de la Cámara de Comercio Paraguayo Americana (AmCham), explicó que esta volatilidad afecta especialmente a los inversionistas y sectores que operan con contratos en dólares, como el exportador, la construcción y el real estate, ya que deben cumplir compromisos pactados a un tipo de cambio más alto que el actual. Según Saba, el problema central no es únicamente el nivel del tipo de cambio, sino la falta de previsibilidad: empresas del agro y otros rubros que trabajan con precios cerrados a tres o seis meses ven reducidos sus márgenes cuando el dólar cae de forma abrupta. Por ello, algunos sectores piden que el BCP intervenga también cuando la moneda se deprecia, del mismo modo en que se interviene cuando se fortalece, para suavizar la curva. El dirigente aclaró además que la baja del dólar no se traslada de forma automática a menores precios para el consumidor, porque el sector importador enfrenta al mismo tiempo inflación en los países de origen y mayores costos logísticos.</w:t>
      </w:r>
      <w:r w:rsidDel="00000000" w:rsidR="00000000" w:rsidRPr="00000000">
        <w:rPr>
          <w:rtl w:val="0"/>
        </w:rPr>
      </w:r>
    </w:p>
    <w:p w:rsidR="00000000" w:rsidDel="00000000" w:rsidP="00000000" w:rsidRDefault="00000000" w:rsidRPr="00000000" w14:paraId="00000015">
      <w:pPr>
        <w:spacing w:after="120" w:before="200" w:lineRule="auto"/>
        <w:rPr/>
      </w:pPr>
      <w:r w:rsidDel="00000000" w:rsidR="00000000" w:rsidRPr="00000000">
        <w:rPr>
          <w:rFonts w:ascii="Calibri" w:cs="Calibri" w:eastAsia="Calibri" w:hAnsi="Calibri"/>
          <w:b w:val="1"/>
          <w:bCs w:val="1"/>
          <w:sz w:val="22"/>
          <w:szCs w:val="22"/>
          <w:rtl w:val="0"/>
        </w:rPr>
        <w:t xml:space="preserve">Vocabulario desconocido</w:t>
      </w:r>
      <w:r w:rsidDel="00000000" w:rsidR="00000000" w:rsidRPr="00000000">
        <w:rPr>
          <w:rtl w:val="0"/>
        </w:rPr>
      </w:r>
    </w:p>
    <w:p w:rsidR="00000000" w:rsidDel="00000000" w:rsidP="00000000" w:rsidRDefault="00000000" w:rsidRPr="00000000" w14:paraId="00000016">
      <w:pPr>
        <w:spacing w:after="160" w:lineRule="auto"/>
        <w:jc w:val="both"/>
        <w:rPr/>
      </w:pPr>
      <w:r w:rsidDel="00000000" w:rsidR="00000000" w:rsidRPr="00000000">
        <w:rPr>
          <w:rFonts w:ascii="Calibri" w:cs="Calibri" w:eastAsia="Calibri" w:hAnsi="Calibri"/>
          <w:b w:val="1"/>
          <w:bCs w:val="1"/>
          <w:sz w:val="22"/>
          <w:szCs w:val="22"/>
          <w:rtl w:val="0"/>
        </w:rPr>
        <w:t xml:space="preserve">AmCham: </w:t>
      </w:r>
      <w:r w:rsidDel="00000000" w:rsidR="00000000" w:rsidRPr="00000000">
        <w:rPr>
          <w:rFonts w:ascii="Calibri" w:cs="Calibri" w:eastAsia="Calibri" w:hAnsi="Calibri"/>
          <w:sz w:val="22"/>
          <w:szCs w:val="22"/>
          <w:rtl w:val="0"/>
        </w:rPr>
        <w:t xml:space="preserve">Cámara de Comercio Paraguayo Americana; entidad gremial que agrupa a empresas paraguayas y estadounidenses y representa sus intereses ante el sector público y privado.</w:t>
      </w:r>
      <w:r w:rsidDel="00000000" w:rsidR="00000000" w:rsidRPr="00000000">
        <w:rPr>
          <w:rtl w:val="0"/>
        </w:rPr>
      </w:r>
    </w:p>
    <w:p w:rsidR="00000000" w:rsidDel="00000000" w:rsidP="00000000" w:rsidRDefault="00000000" w:rsidRPr="00000000" w14:paraId="00000017">
      <w:pPr>
        <w:spacing w:after="160" w:lineRule="auto"/>
        <w:jc w:val="both"/>
        <w:rPr/>
      </w:pPr>
      <w:r w:rsidDel="00000000" w:rsidR="00000000" w:rsidRPr="00000000">
        <w:rPr>
          <w:rFonts w:ascii="Calibri" w:cs="Calibri" w:eastAsia="Calibri" w:hAnsi="Calibri"/>
          <w:b w:val="1"/>
          <w:bCs w:val="1"/>
          <w:sz w:val="22"/>
          <w:szCs w:val="22"/>
          <w:rtl w:val="0"/>
        </w:rPr>
        <w:t xml:space="preserve">Tipo de cambio: </w:t>
      </w:r>
      <w:r w:rsidDel="00000000" w:rsidR="00000000" w:rsidRPr="00000000">
        <w:rPr>
          <w:rFonts w:ascii="Calibri" w:cs="Calibri" w:eastAsia="Calibri" w:hAnsi="Calibri"/>
          <w:sz w:val="22"/>
          <w:szCs w:val="22"/>
          <w:rtl w:val="0"/>
        </w:rPr>
        <w:t xml:space="preserve">Precio de una moneda expresado en términos de otra; en este caso, cuántos guaraníes se necesitan para comprar un dólar estadounidense.</w:t>
      </w:r>
      <w:r w:rsidDel="00000000" w:rsidR="00000000" w:rsidRPr="00000000">
        <w:rPr>
          <w:rtl w:val="0"/>
        </w:rPr>
      </w:r>
    </w:p>
    <w:p w:rsidR="00000000" w:rsidDel="00000000" w:rsidP="00000000" w:rsidRDefault="00000000" w:rsidRPr="00000000" w14:paraId="00000018">
      <w:pPr>
        <w:spacing w:after="160" w:lineRule="auto"/>
        <w:jc w:val="both"/>
        <w:rPr/>
      </w:pPr>
      <w:r w:rsidDel="00000000" w:rsidR="00000000" w:rsidRPr="00000000">
        <w:rPr>
          <w:rFonts w:ascii="Calibri" w:cs="Calibri" w:eastAsia="Calibri" w:hAnsi="Calibri"/>
          <w:b w:val="1"/>
          <w:bCs w:val="1"/>
          <w:sz w:val="22"/>
          <w:szCs w:val="22"/>
          <w:rtl w:val="0"/>
        </w:rPr>
        <w:t xml:space="preserve">Previsibilidad: </w:t>
      </w:r>
      <w:r w:rsidDel="00000000" w:rsidR="00000000" w:rsidRPr="00000000">
        <w:rPr>
          <w:rFonts w:ascii="Calibri" w:cs="Calibri" w:eastAsia="Calibri" w:hAnsi="Calibri"/>
          <w:sz w:val="22"/>
          <w:szCs w:val="22"/>
          <w:rtl w:val="0"/>
        </w:rPr>
        <w:t xml:space="preserve">Grado de certeza con que una empresa o inversor puede anticipar el comportamiento futuro de una variable económica (como el tipo de cambio) para planificar sus decisiones.</w:t>
      </w:r>
      <w:r w:rsidDel="00000000" w:rsidR="00000000" w:rsidRPr="00000000">
        <w:rPr>
          <w:rtl w:val="0"/>
        </w:rPr>
      </w:r>
    </w:p>
    <w:p w:rsidR="00000000" w:rsidDel="00000000" w:rsidP="00000000" w:rsidRDefault="00000000" w:rsidRPr="00000000" w14:paraId="00000019">
      <w:pPr>
        <w:spacing w:after="160" w:lineRule="auto"/>
        <w:jc w:val="both"/>
        <w:rPr/>
      </w:pPr>
      <w:r w:rsidDel="00000000" w:rsidR="00000000" w:rsidRPr="00000000">
        <w:rPr>
          <w:rFonts w:ascii="Calibri" w:cs="Calibri" w:eastAsia="Calibri" w:hAnsi="Calibri"/>
          <w:b w:val="1"/>
          <w:bCs w:val="1"/>
          <w:sz w:val="22"/>
          <w:szCs w:val="22"/>
          <w:rtl w:val="0"/>
        </w:rPr>
        <w:t xml:space="preserve">Margen (comercial): </w:t>
      </w:r>
      <w:r w:rsidDel="00000000" w:rsidR="00000000" w:rsidRPr="00000000">
        <w:rPr>
          <w:rFonts w:ascii="Calibri" w:cs="Calibri" w:eastAsia="Calibri" w:hAnsi="Calibri"/>
          <w:sz w:val="22"/>
          <w:szCs w:val="22"/>
          <w:rtl w:val="0"/>
        </w:rPr>
        <w:t xml:space="preserve">Diferencia entre el costo de producción o compra de un bien y su precio de venta; se reduce cuando cambian los costos o el tipo de cambio sin que el precio de venta se ajuste.</w:t>
      </w:r>
      <w:r w:rsidDel="00000000" w:rsidR="00000000" w:rsidRPr="00000000">
        <w:rPr>
          <w:rtl w:val="0"/>
        </w:rPr>
      </w:r>
    </w:p>
    <w:p w:rsidR="00000000" w:rsidDel="00000000" w:rsidP="00000000" w:rsidRDefault="00000000" w:rsidRPr="00000000" w14:paraId="0000001A">
      <w:pPr>
        <w:spacing w:after="160" w:lineRule="auto"/>
        <w:jc w:val="both"/>
        <w:rPr/>
      </w:pPr>
      <w:r w:rsidDel="00000000" w:rsidR="00000000" w:rsidRPr="00000000">
        <w:rPr>
          <w:rFonts w:ascii="Calibri" w:cs="Calibri" w:eastAsia="Calibri" w:hAnsi="Calibri"/>
          <w:b w:val="1"/>
          <w:bCs w:val="1"/>
          <w:sz w:val="22"/>
          <w:szCs w:val="22"/>
          <w:rtl w:val="0"/>
        </w:rPr>
        <w:t xml:space="preserve">Intervención cambiaria: </w:t>
      </w:r>
      <w:r w:rsidDel="00000000" w:rsidR="00000000" w:rsidRPr="00000000">
        <w:rPr>
          <w:rFonts w:ascii="Calibri" w:cs="Calibri" w:eastAsia="Calibri" w:hAnsi="Calibri"/>
          <w:sz w:val="22"/>
          <w:szCs w:val="22"/>
          <w:rtl w:val="0"/>
        </w:rPr>
        <w:t xml:space="preserve">Acción del Banco Central de comprar o vender divisas en el mercado con el objetivo de influir sobre el nivel o la volatilidad del tipo de cambio.</w:t>
      </w:r>
      <w:r w:rsidDel="00000000" w:rsidR="00000000" w:rsidRPr="00000000">
        <w:rPr>
          <w:rtl w:val="0"/>
        </w:rPr>
      </w:r>
    </w:p>
    <w:p w:rsidR="00000000" w:rsidDel="00000000" w:rsidP="00000000" w:rsidRDefault="00000000" w:rsidRPr="00000000" w14:paraId="0000001B">
      <w:pPr>
        <w:spacing w:after="160" w:lineRule="auto"/>
        <w:jc w:val="both"/>
        <w:rPr/>
      </w:pPr>
      <w:r w:rsidDel="00000000" w:rsidR="00000000" w:rsidRPr="00000000">
        <w:rPr>
          <w:rFonts w:ascii="Calibri" w:cs="Calibri" w:eastAsia="Calibri" w:hAnsi="Calibri"/>
          <w:b w:val="1"/>
          <w:bCs w:val="1"/>
          <w:sz w:val="22"/>
          <w:szCs w:val="22"/>
          <w:rtl w:val="0"/>
        </w:rPr>
        <w:t xml:space="preserve">Inflación industrial: </w:t>
      </w:r>
      <w:r w:rsidDel="00000000" w:rsidR="00000000" w:rsidRPr="00000000">
        <w:rPr>
          <w:rFonts w:ascii="Calibri" w:cs="Calibri" w:eastAsia="Calibri" w:hAnsi="Calibri"/>
          <w:sz w:val="22"/>
          <w:szCs w:val="22"/>
          <w:rtl w:val="0"/>
        </w:rPr>
        <w:t xml:space="preserve">Aumento generalizado de los costos de producción en la industria de un país (insumos, energía, mano de obra), que se traslada al precio final de los bienes exportados.</w:t>
      </w:r>
      <w:r w:rsidDel="00000000" w:rsidR="00000000" w:rsidRPr="00000000">
        <w:rPr>
          <w:rtl w:val="0"/>
        </w:rPr>
      </w:r>
    </w:p>
    <w:p w:rsidR="00000000" w:rsidDel="00000000" w:rsidP="00000000" w:rsidRDefault="00000000" w:rsidRPr="00000000" w14:paraId="0000001C">
      <w:pPr>
        <w:spacing w:after="120" w:before="200" w:lineRule="auto"/>
        <w:rPr/>
      </w:pPr>
      <w:r w:rsidDel="00000000" w:rsidR="00000000" w:rsidRPr="00000000">
        <w:rPr>
          <w:rFonts w:ascii="Calibri" w:cs="Calibri" w:eastAsia="Calibri" w:hAnsi="Calibri"/>
          <w:b w:val="1"/>
          <w:bCs w:val="1"/>
          <w:sz w:val="22"/>
          <w:szCs w:val="22"/>
          <w:rtl w:val="0"/>
        </w:rPr>
        <w:t xml:space="preserve">Conclusión</w:t>
      </w:r>
      <w:r w:rsidDel="00000000" w:rsidR="00000000" w:rsidRPr="00000000">
        <w:rPr>
          <w:rtl w:val="0"/>
        </w:rPr>
      </w:r>
    </w:p>
    <w:p w:rsidR="00000000" w:rsidDel="00000000" w:rsidP="00000000" w:rsidRDefault="00000000" w:rsidRPr="00000000" w14:paraId="0000001D">
      <w:pPr>
        <w:spacing w:after="200" w:lineRule="auto"/>
        <w:jc w:val="both"/>
        <w:rPr/>
      </w:pPr>
      <w:r w:rsidDel="00000000" w:rsidR="00000000" w:rsidRPr="00000000">
        <w:rPr>
          <w:rFonts w:ascii="Calibri" w:cs="Calibri" w:eastAsia="Calibri" w:hAnsi="Calibri"/>
          <w:sz w:val="22"/>
          <w:szCs w:val="22"/>
          <w:rtl w:val="0"/>
        </w:rPr>
        <w:t xml:space="preserve">La caída sostenida del dólar frente al guaraní muestra que la apreciación cambiaria no beneficia por igual a todos los sectores de la economía paraguaya: mientras algunos importadores podrían verse favorecidos, los exportadores, la construcción y el real estate enfrentan pérdidas de competitividad y de margen al operar con contratos fijados en dólares. El planteo de AmCham deja en evidencia que el problema de fondo no es un nivel de tipo de cambio específico, sino la volatilidad y la falta de previsibilidad, que dificulta la planificación de inversiones a mediano y largo plazo.</w:t>
      </w:r>
      <w:r w:rsidDel="00000000" w:rsidR="00000000" w:rsidRPr="00000000">
        <w:rPr>
          <w:rtl w:val="0"/>
        </w:rPr>
      </w:r>
    </w:p>
    <w:p w:rsidR="00000000" w:rsidDel="00000000" w:rsidP="00000000" w:rsidRDefault="00000000" w:rsidRPr="00000000" w14:paraId="0000001E">
      <w:pPr>
        <w:spacing w:after="120" w:before="200" w:lineRule="auto"/>
        <w:rPr/>
      </w:pPr>
      <w:r w:rsidDel="00000000" w:rsidR="00000000" w:rsidRPr="00000000">
        <w:rPr>
          <w:rFonts w:ascii="Calibri" w:cs="Calibri" w:eastAsia="Calibri" w:hAnsi="Calibri"/>
          <w:b w:val="1"/>
          <w:bCs w:val="1"/>
          <w:sz w:val="22"/>
          <w:szCs w:val="22"/>
          <w:rtl w:val="0"/>
        </w:rPr>
        <w:t xml:space="preserve">Recomendación</w:t>
      </w:r>
      <w:r w:rsidDel="00000000" w:rsidR="00000000" w:rsidRPr="00000000">
        <w:rPr>
          <w:rtl w:val="0"/>
        </w:rPr>
      </w:r>
    </w:p>
    <w:p w:rsidR="00000000" w:rsidDel="00000000" w:rsidP="00000000" w:rsidRDefault="00000000" w:rsidRPr="00000000" w14:paraId="0000001F">
      <w:pPr>
        <w:spacing w:after="200" w:lineRule="auto"/>
        <w:jc w:val="both"/>
        <w:rPr/>
      </w:pPr>
      <w:r w:rsidDel="00000000" w:rsidR="00000000" w:rsidRPr="00000000">
        <w:rPr>
          <w:rFonts w:ascii="Calibri" w:cs="Calibri" w:eastAsia="Calibri" w:hAnsi="Calibri"/>
          <w:sz w:val="22"/>
          <w:szCs w:val="22"/>
          <w:rtl w:val="0"/>
        </w:rPr>
        <w:t xml:space="preserve">Se recomienda que el Banco Central del Paraguay evalúe mecanismos de intervención más simétricos, que atiendan tanto los episodios de fortalecimiento como de depreciación abrupta del dólar, y que las empresas exportadoras y del sector construcción incorporen cláusulas de ajuste cambiario en sus contratos para reducir su exposición a esta volatilidad.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