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lineRule="auto"/>
        <w:jc w:val="center"/>
        <w:rPr/>
      </w:pPr>
      <w:r w:rsidDel="00000000" w:rsidR="00000000" w:rsidRPr="00000000">
        <w:rPr>
          <w:rFonts w:ascii="Times New Roman" w:cs="Times New Roman" w:eastAsia="Times New Roman" w:hAnsi="Times New Roman"/>
          <w:b w:val="1"/>
          <w:bCs w:val="1"/>
          <w:sz w:val="28"/>
          <w:szCs w:val="28"/>
          <w:rtl w:val="0"/>
        </w:rPr>
        <w:t xml:space="preserve">UNIVERSIDAD NACIONAL DE ITAPÚA</w:t>
      </w:r>
      <w:r w:rsidDel="00000000" w:rsidR="00000000" w:rsidRPr="00000000">
        <w:rPr>
          <w:rtl w:val="0"/>
        </w:rPr>
      </w:r>
    </w:p>
    <w:p w:rsidR="00000000" w:rsidDel="00000000" w:rsidP="00000000" w:rsidRDefault="00000000" w:rsidRPr="00000000" w14:paraId="00000002">
      <w:pPr>
        <w:spacing w:after="5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Facultad de Humanidades, Ciencias Sociales y Cultura Guaraní</w:t>
      </w:r>
      <w:r w:rsidDel="00000000" w:rsidR="00000000" w:rsidRPr="00000000">
        <w:rPr>
          <w:rtl w:val="0"/>
        </w:rPr>
      </w:r>
    </w:p>
    <w:p w:rsidR="00000000" w:rsidDel="00000000" w:rsidP="00000000" w:rsidRDefault="00000000" w:rsidRPr="00000000" w14:paraId="00000003">
      <w:pPr>
        <w:spacing w:after="50" w:lineRule="auto"/>
        <w:jc w:val="center"/>
        <w:rPr/>
      </w:pPr>
      <w:r w:rsidDel="00000000" w:rsidR="00000000" w:rsidRPr="00000000">
        <w:rPr>
          <w:rFonts w:ascii="Times New Roman" w:cs="Times New Roman" w:eastAsia="Times New Roman" w:hAnsi="Times New Roman"/>
          <w:sz w:val="22"/>
          <w:szCs w:val="22"/>
          <w:rtl w:val="0"/>
        </w:rPr>
        <w:t xml:space="preserve">Carrera: Licenciatura en Relaciones Internacionales</w:t>
      </w:r>
      <w:r w:rsidDel="00000000" w:rsidR="00000000" w:rsidRPr="00000000">
        <w:rPr>
          <w:rtl w:val="0"/>
        </w:rPr>
      </w:r>
    </w:p>
    <w:p w:rsidR="00000000" w:rsidDel="00000000" w:rsidP="00000000" w:rsidRDefault="00000000" w:rsidRPr="00000000" w14:paraId="00000004">
      <w:pPr>
        <w:spacing w:after="50" w:lineRule="auto"/>
        <w:jc w:val="center"/>
        <w:rPr/>
      </w:pPr>
      <w:r w:rsidDel="00000000" w:rsidR="00000000" w:rsidRPr="00000000">
        <w:rPr>
          <w:rFonts w:ascii="Times New Roman" w:cs="Times New Roman" w:eastAsia="Times New Roman" w:hAnsi="Times New Roman"/>
          <w:sz w:val="20"/>
          <w:szCs w:val="20"/>
          <w:rtl w:val="0"/>
        </w:rPr>
        <w:t xml:space="preserve">Encarnación – Paraguay</w:t>
      </w:r>
      <w:r w:rsidDel="00000000" w:rsidR="00000000" w:rsidRPr="00000000">
        <w:rPr>
          <w:rtl w:val="0"/>
        </w:rPr>
      </w:r>
    </w:p>
    <w:p w:rsidR="00000000" w:rsidDel="00000000" w:rsidP="00000000" w:rsidRDefault="00000000" w:rsidRPr="00000000" w14:paraId="00000005">
      <w:pPr>
        <w:pBdr>
          <w:bottom w:color="1f3864" w:space="0" w:sz="6"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300" w:lineRule="auto"/>
        <w:jc w:val="center"/>
        <w:rPr/>
      </w:pPr>
      <w:r w:rsidDel="00000000" w:rsidR="00000000" w:rsidRPr="00000000">
        <w:rPr>
          <w:rFonts w:ascii="Times New Roman" w:cs="Times New Roman" w:eastAsia="Times New Roman" w:hAnsi="Times New Roman"/>
          <w:b w:val="1"/>
          <w:bCs w:val="1"/>
          <w:color w:val="1f3864"/>
          <w:sz w:val="30"/>
          <w:szCs w:val="30"/>
          <w:rtl w:val="0"/>
        </w:rPr>
        <w:t xml:space="preserve">Análisis de la noticia semanal</w:t>
      </w:r>
      <w:r w:rsidDel="00000000" w:rsidR="00000000" w:rsidRPr="00000000">
        <w:rPr>
          <w:rtl w:val="0"/>
        </w:rPr>
      </w:r>
    </w:p>
    <w:p w:rsidR="00000000" w:rsidDel="00000000" w:rsidP="00000000" w:rsidRDefault="00000000" w:rsidRPr="00000000" w14:paraId="00000007">
      <w:pPr>
        <w:pStyle w:val="Heading1"/>
        <w:spacing w:after="150" w:before="300" w:lineRule="auto"/>
        <w:rPr/>
      </w:pPr>
      <w:r w:rsidDel="00000000" w:rsidR="00000000" w:rsidRPr="00000000">
        <w:rPr>
          <w:rFonts w:ascii="Times New Roman" w:cs="Times New Roman" w:eastAsia="Times New Roman" w:hAnsi="Times New Roman"/>
          <w:b w:val="1"/>
          <w:bCs w:val="1"/>
          <w:color w:val="1f3864"/>
          <w:sz w:val="26"/>
          <w:szCs w:val="26"/>
          <w:rtl w:val="0"/>
        </w:rPr>
        <w:t xml:space="preserve">1. Desarrollo – Lectura de la noticia semanal</w:t>
      </w:r>
      <w:r w:rsidDel="00000000" w:rsidR="00000000" w:rsidRPr="00000000">
        <w:rPr>
          <w:rtl w:val="0"/>
        </w:rPr>
      </w:r>
    </w:p>
    <w:p w:rsidR="00000000" w:rsidDel="00000000" w:rsidP="00000000" w:rsidRDefault="00000000" w:rsidRPr="00000000" w14:paraId="00000008">
      <w:pPr>
        <w:spacing w:after="15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Título: Itaipú realizó el último show de Iluminación Monumental: suspenderá el atractivo por un año</w:t>
      </w:r>
      <w:r w:rsidDel="00000000" w:rsidR="00000000" w:rsidRPr="00000000">
        <w:rPr>
          <w:rtl w:val="0"/>
        </w:rPr>
      </w:r>
    </w:p>
    <w:p w:rsidR="00000000" w:rsidDel="00000000" w:rsidP="00000000" w:rsidRDefault="00000000" w:rsidRPr="00000000" w14:paraId="00000009">
      <w:pPr>
        <w:spacing w:after="150" w:line="300" w:lineRule="auto"/>
        <w:jc w:val="both"/>
        <w:rPr/>
      </w:pPr>
      <w:r w:rsidDel="00000000" w:rsidR="00000000" w:rsidRPr="00000000">
        <w:rPr>
          <w:rFonts w:ascii="Times New Roman" w:cs="Times New Roman" w:eastAsia="Times New Roman" w:hAnsi="Times New Roman"/>
          <w:i w:val="1"/>
          <w:iCs w:val="1"/>
          <w:sz w:val="24"/>
          <w:szCs w:val="24"/>
          <w:rtl w:val="0"/>
        </w:rPr>
        <w:t xml:space="preserve">Fuente: Diario ABC Color (edición Economía) – Fecha: 11 de agosto de 2026.</w:t>
      </w:r>
      <w:r w:rsidDel="00000000" w:rsidR="00000000" w:rsidRPr="00000000">
        <w:rPr>
          <w:rtl w:val="0"/>
        </w:rPr>
      </w:r>
    </w:p>
    <w:p w:rsidR="00000000" w:rsidDel="00000000" w:rsidP="00000000" w:rsidRDefault="00000000" w:rsidRPr="00000000" w14:paraId="0000000A">
      <w:pPr>
        <w:spacing w:after="150" w:line="300" w:lineRule="auto"/>
        <w:jc w:val="both"/>
        <w:rPr/>
      </w:pPr>
      <w:r w:rsidDel="00000000" w:rsidR="00000000" w:rsidRPr="00000000">
        <w:rPr>
          <w:rFonts w:ascii="Times New Roman" w:cs="Times New Roman" w:eastAsia="Times New Roman" w:hAnsi="Times New Roman"/>
          <w:sz w:val="24"/>
          <w:szCs w:val="24"/>
          <w:rtl w:val="0"/>
        </w:rPr>
        <w:t xml:space="preserve">La Itaipú Binacional llevó a cabo, el sábado 8 de agosto de 2026, la última función de su tradicional Iluminación Monumental, un espectáculo de luces y sonidos que desde hace casi 24 años forma parte de la oferta turística nocturna de la represa en Hernandarias. Con esta presentación, el atractivo entra en un receso estimado de un año, período en el cual se ejecutará una renovación integral del sistema lumínico.</w:t>
      </w:r>
      <w:r w:rsidDel="00000000" w:rsidR="00000000" w:rsidRPr="00000000">
        <w:rPr>
          <w:rtl w:val="0"/>
        </w:rPr>
      </w:r>
    </w:p>
    <w:p w:rsidR="00000000" w:rsidDel="00000000" w:rsidP="00000000" w:rsidRDefault="00000000" w:rsidRPr="00000000" w14:paraId="0000000B">
      <w:pPr>
        <w:spacing w:after="150" w:line="300" w:lineRule="auto"/>
        <w:jc w:val="both"/>
        <w:rPr/>
      </w:pPr>
      <w:r w:rsidDel="00000000" w:rsidR="00000000" w:rsidRPr="00000000">
        <w:rPr>
          <w:rFonts w:ascii="Times New Roman" w:cs="Times New Roman" w:eastAsia="Times New Roman" w:hAnsi="Times New Roman"/>
          <w:sz w:val="24"/>
          <w:szCs w:val="24"/>
          <w:rtl w:val="0"/>
        </w:rPr>
        <w:t xml:space="preserve">La jornada de cierre contó con una masiva concurrencia de visitantes en el Centro de Recepción de Visitas y en el Mirador de la Margen Derecha, además de una presentación artística del elenco Mymba Teko y un cierre con fuegos artificiales. Según la entidad binacional, el cambio se volvió necesario porque los fabricantes dejaron de producir las lámparas de vapor metálico que actualmente iluminan el vertedero, la presa principal, la presa lateral derecha y la toma de agua, lo que dificulta cada vez más conseguir repuestos.</w:t>
      </w:r>
      <w:r w:rsidDel="00000000" w:rsidR="00000000" w:rsidRPr="00000000">
        <w:rPr>
          <w:rtl w:val="0"/>
        </w:rPr>
      </w:r>
    </w:p>
    <w:p w:rsidR="00000000" w:rsidDel="00000000" w:rsidP="00000000" w:rsidRDefault="00000000" w:rsidRPr="00000000" w14:paraId="0000000C">
      <w:pPr>
        <w:spacing w:after="150" w:line="300" w:lineRule="auto"/>
        <w:jc w:val="both"/>
        <w:rPr/>
      </w:pPr>
      <w:r w:rsidDel="00000000" w:rsidR="00000000" w:rsidRPr="00000000">
        <w:rPr>
          <w:rFonts w:ascii="Times New Roman" w:cs="Times New Roman" w:eastAsia="Times New Roman" w:hAnsi="Times New Roman"/>
          <w:sz w:val="24"/>
          <w:szCs w:val="24"/>
          <w:rtl w:val="0"/>
        </w:rPr>
        <w:t xml:space="preserve">El proyecto de modernización contempla sustituir los 829 puntos de luz por tecnología LED, conservando la esencia del diseño original concebido en 1997. La nueva infraestructura permitirá controlar colores e intensidad de manera remota desde una consola, sin necesidad de reemplazar manualmente las lámparas, lo que habilitará espectáculos más dinámicos. Además, una vez concluidas las obras, se prevé ampliar la frecuencia de las funciones, que actualmente se realizan solo los viernes y sábados, a entre cuatro y cinco días por semana. Desde 2005, el atractivo fue visitado por más de 800.000 personas, consolidándose como uno de los principales puntos turísticos nocturnos de la Triple Frontera.</w:t>
      </w:r>
      <w:r w:rsidDel="00000000" w:rsidR="00000000" w:rsidRPr="00000000">
        <w:rPr>
          <w:rtl w:val="0"/>
        </w:rPr>
      </w:r>
    </w:p>
    <w:p w:rsidR="00000000" w:rsidDel="00000000" w:rsidP="00000000" w:rsidRDefault="00000000" w:rsidRPr="00000000" w14:paraId="0000000D">
      <w:pPr>
        <w:pStyle w:val="Heading1"/>
        <w:spacing w:after="150" w:before="300" w:lineRule="auto"/>
        <w:rPr/>
      </w:pPr>
      <w:r w:rsidDel="00000000" w:rsidR="00000000" w:rsidRPr="00000000">
        <w:rPr>
          <w:rFonts w:ascii="Times New Roman" w:cs="Times New Roman" w:eastAsia="Times New Roman" w:hAnsi="Times New Roman"/>
          <w:b w:val="1"/>
          <w:bCs w:val="1"/>
          <w:color w:val="1f3864"/>
          <w:sz w:val="26"/>
          <w:szCs w:val="26"/>
          <w:rtl w:val="0"/>
        </w:rPr>
        <w:t xml:space="preserve">2. Resumen</w:t>
      </w:r>
      <w:r w:rsidDel="00000000" w:rsidR="00000000" w:rsidRPr="00000000">
        <w:rPr>
          <w:rtl w:val="0"/>
        </w:rPr>
      </w:r>
    </w:p>
    <w:p w:rsidR="00000000" w:rsidDel="00000000" w:rsidP="00000000" w:rsidRDefault="00000000" w:rsidRPr="00000000" w14:paraId="0000000E">
      <w:pPr>
        <w:spacing w:after="150" w:line="300" w:lineRule="auto"/>
        <w:jc w:val="both"/>
        <w:rPr/>
      </w:pPr>
      <w:r w:rsidDel="00000000" w:rsidR="00000000" w:rsidRPr="00000000">
        <w:rPr>
          <w:rFonts w:ascii="Times New Roman" w:cs="Times New Roman" w:eastAsia="Times New Roman" w:hAnsi="Times New Roman"/>
          <w:sz w:val="24"/>
          <w:szCs w:val="24"/>
          <w:rtl w:val="0"/>
        </w:rPr>
        <w:t xml:space="preserve">Itaipú Binacional realizó, el 8 de agosto de 2026, la última función de su Iluminación Monumental, tras casi 24 años de funcionamiento. El atractivo entra en una pausa de aproximadamente un año para reemplazar los 829 puntos de luz por tecnología LED, ante la escasez de repuestos para las antiguas lámparas de vapor metálico. Concluidas las obras, se ampliará la frecuencia de funciones y se ofrecerán espectáculos más dinámicos.</w:t>
      </w:r>
      <w:r w:rsidDel="00000000" w:rsidR="00000000" w:rsidRPr="00000000">
        <w:rPr>
          <w:rtl w:val="0"/>
        </w:rPr>
      </w:r>
    </w:p>
    <w:p w:rsidR="00000000" w:rsidDel="00000000" w:rsidP="00000000" w:rsidRDefault="00000000" w:rsidRPr="00000000" w14:paraId="0000000F">
      <w:pPr>
        <w:pStyle w:val="Heading1"/>
        <w:spacing w:after="150" w:before="300" w:lineRule="auto"/>
        <w:rPr/>
      </w:pPr>
      <w:r w:rsidDel="00000000" w:rsidR="00000000" w:rsidRPr="00000000">
        <w:rPr>
          <w:rFonts w:ascii="Times New Roman" w:cs="Times New Roman" w:eastAsia="Times New Roman" w:hAnsi="Times New Roman"/>
          <w:b w:val="1"/>
          <w:bCs w:val="1"/>
          <w:color w:val="1f3864"/>
          <w:sz w:val="26"/>
          <w:szCs w:val="26"/>
          <w:rtl w:val="0"/>
        </w:rPr>
        <w:t xml:space="preserve">3. Vocabulario económico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Modernización de infraestructura: proceso de actualización tecnológica de instalaciones o equipos existentes con el fin de mejorar su eficiencia, reducir costos de mantenimiento y prolongar su vida útil.</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Oferta turística: conjunto de bienes, servicios y atractivos que un destino pone a disposición de los visitantes, y que constituye un factor clave para la generación de ingresos y empleo en la industria del turismo.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Obsolescencia tecnológica: pérdida de vigencia o funcionalidad de un bien o sistema debido a la aparición de tecnologías más eficientes, lo que puede implicar la necesidad de inversión para su reemplazo.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Eficiencia energética: relación entre la energía efectivamente utilizada y la consumida por un sistema, de modo que a mayor eficiencia, menor es el gasto de recursos para obtener el mismo resultado.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Flujo turístico: cantidad de visitantes que se desplaza hacia un destino determinado en un período dado, indicador utilizado para medir el impacto económico del turismo en una región.</w:t>
      </w:r>
      <w:r w:rsidDel="00000000" w:rsidR="00000000" w:rsidRPr="00000000">
        <w:rPr>
          <w:rtl w:val="0"/>
        </w:rPr>
      </w:r>
    </w:p>
    <w:p w:rsidR="00000000" w:rsidDel="00000000" w:rsidP="00000000" w:rsidRDefault="00000000" w:rsidRPr="00000000" w14:paraId="00000015">
      <w:pPr>
        <w:pStyle w:val="Heading1"/>
        <w:spacing w:after="150" w:before="300" w:lineRule="auto"/>
        <w:rPr/>
      </w:pPr>
      <w:r w:rsidDel="00000000" w:rsidR="00000000" w:rsidRPr="00000000">
        <w:rPr>
          <w:rFonts w:ascii="Times New Roman" w:cs="Times New Roman" w:eastAsia="Times New Roman" w:hAnsi="Times New Roman"/>
          <w:b w:val="1"/>
          <w:bCs w:val="1"/>
          <w:color w:val="1f3864"/>
          <w:sz w:val="26"/>
          <w:szCs w:val="26"/>
          <w:rtl w:val="0"/>
        </w:rPr>
        <w:t xml:space="preserve">4. Recomendaciones desde la perspectiva de la Carrera de Relaciones Internacionales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Aprovechar la modernización de la Iluminación Monumental como una oportunidad de cooperación binacional (Paraguay–Brasil) para fortalecer la promoción turística conjunta de la Triple Frontera, coordinando campañas de difusión internacional que posicionen a Itaipú como destino sostenible dentro de la integración regional.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Vincular la renovación tecnológica del atractivo con estándares internacionales de eficiencia energética y sostenibilidad ambiental, de modo que la iniciativa pueda presentarse en foros multilaterales de energía e integración como un caso de buenas prácticas de Itaipú en materia de responsabilidad social y ambiental.</w:t>
      </w:r>
      <w:r w:rsidDel="00000000" w:rsidR="00000000" w:rsidRPr="00000000">
        <w:rPr>
          <w:rtl w:val="0"/>
        </w:rPr>
      </w:r>
    </w:p>
    <w:p w:rsidR="00000000" w:rsidDel="00000000" w:rsidP="00000000" w:rsidRDefault="00000000" w:rsidRPr="00000000" w14:paraId="00000018">
      <w:pPr>
        <w:pStyle w:val="Heading1"/>
        <w:spacing w:after="150" w:before="300" w:lineRule="auto"/>
        <w:rPr/>
      </w:pPr>
      <w:r w:rsidDel="00000000" w:rsidR="00000000" w:rsidRPr="00000000">
        <w:rPr>
          <w:rFonts w:ascii="Times New Roman" w:cs="Times New Roman" w:eastAsia="Times New Roman" w:hAnsi="Times New Roman"/>
          <w:b w:val="1"/>
          <w:bCs w:val="1"/>
          <w:color w:val="1f3864"/>
          <w:sz w:val="26"/>
          <w:szCs w:val="26"/>
          <w:rtl w:val="0"/>
        </w:rPr>
        <w:t xml:space="preserve">Conclusión</w:t>
      </w:r>
      <w:r w:rsidDel="00000000" w:rsidR="00000000" w:rsidRPr="00000000">
        <w:rPr>
          <w:rtl w:val="0"/>
        </w:rPr>
      </w:r>
    </w:p>
    <w:p w:rsidR="00000000" w:rsidDel="00000000" w:rsidP="00000000" w:rsidRDefault="00000000" w:rsidRPr="00000000" w14:paraId="00000019">
      <w:pPr>
        <w:spacing w:after="150" w:line="300" w:lineRule="auto"/>
        <w:jc w:val="both"/>
        <w:rPr/>
      </w:pPr>
      <w:r w:rsidDel="00000000" w:rsidR="00000000" w:rsidRPr="00000000">
        <w:rPr>
          <w:rFonts w:ascii="Times New Roman" w:cs="Times New Roman" w:eastAsia="Times New Roman" w:hAnsi="Times New Roman"/>
          <w:sz w:val="24"/>
          <w:szCs w:val="24"/>
          <w:rtl w:val="0"/>
        </w:rPr>
        <w:t xml:space="preserve">La pausa temporal de la Iluminación Monumental refleja que la gestión de un emprendimiento binacional como Itaipú no se limita a la generación de energía, sino que también abarca la administración de su oferta turística como fuente de ingresos y de proyección internacional. La modernización del sistema constituye una inversión que busca sostener en el tiempo un atractivo consolidado, adaptándolo a nuevas tecnologías sin perder su identidad original. Desde la perspectiva de las Relaciones Internacionales, el caso muestra cómo un proyecto de cooperación entre Estados puede convertirse en una herramienta de integración regional, turismo sostenible y diplomacia pública en la zona de frontera.</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