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120" w:before="120" w:line="275.9999942779541" w:lineRule="auto"/>
        <w:rPr>
          <w:rFonts w:ascii="Times New Roman" w:cs="Times New Roman" w:eastAsia="Times New Roman" w:hAnsi="Times New Roman"/>
          <w:b w:val="1"/>
          <w:bCs w:val="1"/>
          <w:color w:val="1f1f1f"/>
        </w:rPr>
      </w:pPr>
      <w:bookmarkStart w:colFirst="0" w:colLast="0" w:name="_n1kwpsn1dt2u" w:id="0"/>
      <w:bookmarkEnd w:id="0"/>
      <w:r w:rsidDel="00000000" w:rsidR="00000000" w:rsidRPr="00000000">
        <w:rPr>
          <w:rFonts w:ascii="Times New Roman" w:cs="Times New Roman" w:eastAsia="Times New Roman" w:hAnsi="Times New Roman"/>
          <w:b w:val="1"/>
          <w:bCs w:val="1"/>
          <w:color w:val="1f1f1f"/>
          <w:rtl w:val="0"/>
        </w:rPr>
        <w:t xml:space="preserve">TRABAJO PRÁCTICO SEMANAL</w:t>
        <w:tab/>
        <w:tab/>
        <w:tab/>
        <w:tab/>
        <w:t xml:space="preserve">TAREA N°: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890963" cy="78900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0963" cy="789000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jcuy6e5gm501" w:id="1"/>
      <w:bookmarkEnd w:id="1"/>
      <w:r w:rsidDel="00000000" w:rsidR="00000000" w:rsidRPr="00000000">
        <w:rPr>
          <w:rFonts w:ascii="Times New Roman" w:cs="Times New Roman" w:eastAsia="Times New Roman" w:hAnsi="Times New Roman"/>
          <w:b w:val="1"/>
          <w:bCs w:val="1"/>
          <w:color w:val="000000"/>
          <w:sz w:val="26"/>
          <w:szCs w:val="26"/>
          <w:rtl w:val="0"/>
        </w:rPr>
        <w:t xml:space="preserve">3. Resumen de la noticia</w:t>
      </w:r>
    </w:p>
    <w:p w:rsidR="00000000" w:rsidDel="00000000" w:rsidP="00000000" w:rsidRDefault="00000000" w:rsidRPr="00000000" w14:paraId="0000000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Familias de la Agricultura Familiar (AF) en San Pedro del Paraná (Itapúa), con asistencia del Ministerio de Agricultura y Ganadería (MAG) y la Dirección de Extensión Agraria (DEAg), implementaron el uso de "micro túneles" plásticos para el cultivo de sandía. Esta tecnología protege las plantas de las heladas invernales generando microclimas, lo que acelera el desarrollo del cultivo y adelanta la cosecha entre 20 y 30 días. Con esto se busca obtener cosechas "primicias" para comercializar a mejores precios en octubre y noviembre, optimizar el uso de agua, reducir pérdidas por resembrado y mejorar la economía rural de la región.</w:t>
      </w:r>
    </w:p>
    <w:p w:rsidR="00000000" w:rsidDel="00000000" w:rsidP="00000000" w:rsidRDefault="00000000" w:rsidRPr="00000000" w14:paraId="00000006">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Vocabulario y definiciones </w:t>
      </w:r>
    </w:p>
    <w:p w:rsidR="00000000" w:rsidDel="00000000" w:rsidP="00000000" w:rsidRDefault="00000000" w:rsidRPr="00000000" w14:paraId="00000007">
      <w:pPr>
        <w:widowControl w:val="0"/>
        <w:numPr>
          <w:ilvl w:val="0"/>
          <w:numId w:val="1"/>
        </w:numPr>
        <w:spacing w:after="0" w:before="240" w:line="240" w:lineRule="auto"/>
        <w:ind w:left="720" w:hanging="360"/>
        <w:rPr>
          <w:rFonts w:ascii="Roboto" w:cs="Roboto" w:eastAsia="Roboto" w:hAnsi="Roboto"/>
          <w:b w:val="1"/>
          <w:bCs w:val="1"/>
          <w:sz w:val="30"/>
          <w:szCs w:val="30"/>
        </w:rPr>
      </w:pPr>
      <w:r w:rsidDel="00000000" w:rsidR="00000000" w:rsidRPr="00000000">
        <w:rPr>
          <w:rFonts w:ascii="Times New Roman" w:cs="Times New Roman" w:eastAsia="Times New Roman" w:hAnsi="Times New Roman"/>
          <w:b w:val="1"/>
          <w:bCs w:val="1"/>
          <w:color w:val="191919"/>
          <w:rtl w:val="0"/>
        </w:rPr>
        <w:t xml:space="preserve">Dirección de Extensión Agraria (DEAg) de la cartera </w:t>
      </w:r>
      <w:r w:rsidDel="00000000" w:rsidR="00000000" w:rsidRPr="00000000">
        <w:rPr>
          <w:rFonts w:ascii="Times New Roman" w:cs="Times New Roman" w:eastAsia="Times New Roman" w:hAnsi="Times New Roman"/>
          <w:b w:val="1"/>
          <w:bCs w:val="1"/>
          <w:rtl w:val="0"/>
        </w:rPr>
        <w:t xml:space="preserve">agropecuaria:</w:t>
      </w:r>
      <w:r w:rsidDel="00000000" w:rsidR="00000000" w:rsidRPr="00000000">
        <w:rPr>
          <w:rFonts w:ascii="Times New Roman" w:cs="Times New Roman" w:eastAsia="Times New Roman" w:hAnsi="Times New Roman"/>
          <w:sz w:val="24"/>
          <w:szCs w:val="24"/>
          <w:rtl w:val="0"/>
        </w:rPr>
        <w:t xml:space="preserve"> es una dependencia del Ministerio de Agricultura y Ganadería (MAG) en Paraguay, encargada de brindar </w:t>
      </w:r>
      <w:r w:rsidDel="00000000" w:rsidR="00000000" w:rsidRPr="00000000">
        <w:rPr>
          <w:rFonts w:ascii="Times New Roman" w:cs="Times New Roman" w:eastAsia="Times New Roman" w:hAnsi="Times New Roman"/>
          <w:rtl w:val="0"/>
        </w:rPr>
        <w:t xml:space="preserve">asistencia técnica a los agricultores familiares y comunidades indígenas.</w:t>
      </w:r>
      <w:r w:rsidDel="00000000" w:rsidR="00000000" w:rsidRPr="00000000">
        <w:rPr>
          <w:rtl w:val="0"/>
        </w:rPr>
      </w:r>
    </w:p>
    <w:p w:rsidR="00000000" w:rsidDel="00000000" w:rsidP="00000000" w:rsidRDefault="00000000" w:rsidRPr="00000000" w14:paraId="00000008">
      <w:pPr>
        <w:pStyle w:val="Heading2"/>
        <w:keepNext w:val="0"/>
        <w:keepLines w:val="0"/>
        <w:widowControl w:val="0"/>
        <w:numPr>
          <w:ilvl w:val="0"/>
          <w:numId w:val="2"/>
        </w:numPr>
        <w:pBdr>
          <w:top w:color="000000" w:space="0" w:sz="0" w:val="none"/>
          <w:left w:color="000000" w:space="0" w:sz="0" w:val="none"/>
          <w:bottom w:color="000000" w:space="9" w:sz="0" w:val="none"/>
          <w:right w:color="000000" w:space="0" w:sz="0" w:val="none"/>
        </w:pBdr>
        <w:shd w:fill="ffffff" w:val="clear"/>
        <w:spacing w:after="0" w:before="0" w:line="312" w:lineRule="auto"/>
        <w:ind w:left="720" w:hanging="360"/>
        <w:rPr>
          <w:rFonts w:ascii="Times New Roman" w:cs="Times New Roman" w:eastAsia="Times New Roman" w:hAnsi="Times New Roman"/>
          <w:sz w:val="22"/>
          <w:szCs w:val="22"/>
        </w:rPr>
      </w:pPr>
      <w:bookmarkStart w:colFirst="0" w:colLast="0" w:name="_tsdsrwy8mcpw" w:id="2"/>
      <w:bookmarkEnd w:id="2"/>
      <w:r w:rsidDel="00000000" w:rsidR="00000000" w:rsidRPr="00000000">
        <w:rPr>
          <w:rFonts w:ascii="Times New Roman" w:cs="Times New Roman" w:eastAsia="Times New Roman" w:hAnsi="Times New Roman"/>
          <w:b w:val="1"/>
          <w:bCs w:val="1"/>
          <w:sz w:val="22"/>
          <w:szCs w:val="22"/>
          <w:rtl w:val="0"/>
        </w:rPr>
        <w:t xml:space="preserve">Plástico </w:t>
      </w:r>
      <w:r w:rsidDel="00000000" w:rsidR="00000000" w:rsidRPr="00000000">
        <w:rPr>
          <w:rFonts w:ascii="Times New Roman" w:cs="Times New Roman" w:eastAsia="Times New Roman" w:hAnsi="Times New Roman"/>
          <w:sz w:val="22"/>
          <w:szCs w:val="22"/>
          <w:rtl w:val="0"/>
        </w:rPr>
        <w:t xml:space="preserve">agrícola es un material utilizado para proteger cultivos, optimizar su crecimiento y mejorar la eficiencia de la producción agrícola.</w:t>
      </w:r>
    </w:p>
    <w:p w:rsidR="00000000" w:rsidDel="00000000" w:rsidP="00000000" w:rsidRDefault="00000000" w:rsidRPr="00000000" w14:paraId="00000009">
      <w:pPr>
        <w:widowControl w:val="0"/>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Fúngicas (enfermedades fúngicas):</w:t>
      </w:r>
      <w:r w:rsidDel="00000000" w:rsidR="00000000" w:rsidRPr="00000000">
        <w:rPr>
          <w:rFonts w:ascii="Times New Roman" w:cs="Times New Roman" w:eastAsia="Times New Roman" w:hAnsi="Times New Roman"/>
          <w:rtl w:val="0"/>
        </w:rPr>
        <w:t xml:space="preserve"> Enfermedades causadas por hongos en las plantas. </w:t>
      </w:r>
    </w:p>
    <w:p w:rsidR="00000000" w:rsidDel="00000000" w:rsidP="00000000" w:rsidRDefault="00000000" w:rsidRPr="00000000" w14:paraId="0000000A">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kvvqu1y4px0d" w:id="3"/>
      <w:bookmarkEnd w:id="3"/>
      <w:r w:rsidDel="00000000" w:rsidR="00000000" w:rsidRPr="00000000">
        <w:rPr>
          <w:rFonts w:ascii="Times New Roman" w:cs="Times New Roman" w:eastAsia="Times New Roman" w:hAnsi="Times New Roman"/>
          <w:b w:val="1"/>
          <w:bCs w:val="1"/>
          <w:color w:val="000000"/>
          <w:sz w:val="26"/>
          <w:szCs w:val="26"/>
          <w:rtl w:val="0"/>
        </w:rPr>
        <w:t xml:space="preserve">5. Conclusión</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adopción de tecnología accesible como los micro túneles demuestra que la innovación agrícola no requiere de mega infraestructuras para generar un impacto económico significativo en la agricultura familiar. Al mitigar el riesgo de pérdida por heladas y adelantar los tiempos de cosecha, los pequeños productores logran ingresar al mercado en momentos de alta demanda y precios óptimos. Esto fortalece la economía rural de Itapúa y asegura el abastecimiento nacional sin depender exclusivamente de importaciones.</w:t>
      </w:r>
    </w:p>
    <w:p w:rsidR="00000000" w:rsidDel="00000000" w:rsidP="00000000" w:rsidRDefault="00000000" w:rsidRPr="00000000" w14:paraId="0000000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9o95syd57nsd" w:id="4"/>
      <w:bookmarkEnd w:id="4"/>
      <w:r w:rsidDel="00000000" w:rsidR="00000000" w:rsidRPr="00000000">
        <w:rPr>
          <w:rFonts w:ascii="Times New Roman" w:cs="Times New Roman" w:eastAsia="Times New Roman" w:hAnsi="Times New Roman"/>
          <w:b w:val="1"/>
          <w:bCs w:val="1"/>
          <w:color w:val="000000"/>
          <w:sz w:val="26"/>
          <w:szCs w:val="26"/>
          <w:rtl w:val="0"/>
        </w:rPr>
        <w:t xml:space="preserve">6. Recomendación</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al Ministerio de Agricultura y Ganadería (MAG) expandir la escala de este programa de asistencia técnica a más distritos y rubros hortícolas de la zona. Asimismo, sería fundamental acompañar la transferencia de tecnología con capacitaciones financieras e infraestructura logística (como cadena de frío y transporte), garantizando que los pequeños productores puedan posicionar su mercadería directamente en los mercados principales sin una intermediación excesiva que reduzca sus márgenes de ganancia.</w:t>
      </w:r>
    </w:p>
    <w:p w:rsidR="00000000" w:rsidDel="00000000" w:rsidP="00000000" w:rsidRDefault="00000000" w:rsidRPr="00000000" w14:paraId="0000000E">
      <w:pPr>
        <w:widowControl w:val="0"/>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