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120" w:before="120" w:line="275.9999942779541" w:lineRule="auto"/>
        <w:rPr>
          <w:rFonts w:ascii="Times New Roman" w:cs="Times New Roman" w:eastAsia="Times New Roman" w:hAnsi="Times New Roman"/>
          <w:b w:val="1"/>
          <w:bCs w:val="1"/>
        </w:rPr>
      </w:pPr>
      <w:bookmarkStart w:colFirst="0" w:colLast="0" w:name="_kmonsk2sei4j" w:id="0"/>
      <w:bookmarkEnd w:id="0"/>
      <w:r w:rsidDel="00000000" w:rsidR="00000000" w:rsidRPr="00000000">
        <w:rPr>
          <w:rFonts w:ascii="Times New Roman" w:cs="Times New Roman" w:eastAsia="Times New Roman" w:hAnsi="Times New Roman"/>
          <w:b w:val="1"/>
          <w:bCs w:val="1"/>
          <w:color w:val="1f1f1f"/>
          <w:rtl w:val="0"/>
        </w:rPr>
        <w:t xml:space="preserve">TRABAJO PRÁCTICO SEMANAL</w:t>
        <w:tab/>
        <w:tab/>
        <w:tab/>
        <w:tab/>
        <w:t xml:space="preserve">TAREA N°: 2 </w:t>
      </w:r>
      <w:r w:rsidDel="00000000" w:rsidR="00000000" w:rsidRPr="00000000">
        <w:rPr>
          <w:rtl w:val="0"/>
        </w:rPr>
      </w:r>
    </w:p>
    <w:p w:rsidR="00000000" w:rsidDel="00000000" w:rsidP="00000000" w:rsidRDefault="00000000" w:rsidRPr="00000000" w14:paraId="00000002">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cuqlbklpghv2" w:id="1"/>
      <w:bookmarkEnd w:id="1"/>
      <w:r w:rsidDel="00000000" w:rsidR="00000000" w:rsidRPr="00000000">
        <w:rPr>
          <w:rFonts w:ascii="Times New Roman" w:cs="Times New Roman" w:eastAsia="Times New Roman" w:hAnsi="Times New Roman"/>
          <w:b w:val="1"/>
          <w:bCs w:val="1"/>
          <w:color w:val="000000"/>
          <w:sz w:val="26"/>
          <w:szCs w:val="26"/>
          <w:rtl w:val="0"/>
        </w:rPr>
        <w:t xml:space="preserve">3. Resumen de la noticia</w:t>
      </w:r>
    </w:p>
    <w:p w:rsidR="00000000" w:rsidDel="00000000" w:rsidP="00000000" w:rsidRDefault="00000000" w:rsidRPr="00000000" w14:paraId="0000000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primer semestre del año, los créditos en dólares dentro del sistema financiero paraguayo crecieron al doble del ritmo que los préstamos en guaraníes. Esta tendencia responde a la estabilidad cambiaria reciente y al dinamismo de sectores con ingresos dolarizados (como la agricultura, la ganadería y el comercio exterior), para quienes endeudarse en moneda extranjera evita un descalce financiero. Por su parte, el crédito en guaraníes mantiene un ritmo menor pero positivo, enfocado en el mercado interno (consumo, vivienda y servicios). Aunque el sistema bancario cuenta con liquidez suficiente para sostener ambas dinámicas, los especialistas enfatizan la importancia de no asumir </w:t>
      </w:r>
      <w:r w:rsidDel="00000000" w:rsidR="00000000" w:rsidRPr="00000000">
        <w:rPr>
          <w:rFonts w:ascii="Times New Roman" w:cs="Times New Roman" w:eastAsia="Times New Roman" w:hAnsi="Times New Roman"/>
          <w:b w:val="1"/>
          <w:bCs w:val="1"/>
          <w:rtl w:val="0"/>
        </w:rPr>
        <w:t xml:space="preserve">riesgo cambiario</w:t>
      </w:r>
      <w:r w:rsidDel="00000000" w:rsidR="00000000" w:rsidRPr="00000000">
        <w:rPr>
          <w:rFonts w:ascii="Times New Roman" w:cs="Times New Roman" w:eastAsia="Times New Roman" w:hAnsi="Times New Roman"/>
          <w:rtl w:val="0"/>
        </w:rPr>
        <w:t xml:space="preserve"> si los ingresos no se generan en dólares. </w:t>
      </w:r>
    </w:p>
    <w:p w:rsidR="00000000" w:rsidDel="00000000" w:rsidP="00000000" w:rsidRDefault="00000000" w:rsidRPr="00000000" w14:paraId="00000004">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Vocabulario y definiciones </w:t>
      </w:r>
    </w:p>
    <w:p w:rsidR="00000000" w:rsidDel="00000000" w:rsidP="00000000" w:rsidRDefault="00000000" w:rsidRPr="00000000" w14:paraId="00000005">
      <w:pPr>
        <w:widowControl w:val="0"/>
        <w:numPr>
          <w:ilvl w:val="0"/>
          <w:numId w:val="1"/>
        </w:numPr>
        <w:spacing w:after="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Descalce (moneda/financiero):</w:t>
      </w:r>
      <w:r w:rsidDel="00000000" w:rsidR="00000000" w:rsidRPr="00000000">
        <w:rPr>
          <w:rFonts w:ascii="Times New Roman" w:cs="Times New Roman" w:eastAsia="Times New Roman" w:hAnsi="Times New Roman"/>
          <w:rtl w:val="0"/>
        </w:rPr>
        <w:t xml:space="preserve"> Situación de desequilibrio que ocurre cuando una entidad o persona adquiere compromisos financieros (deudas) en una moneda distinta a la moneda en la que percibe sus ingresos.</w:t>
      </w:r>
    </w:p>
    <w:p w:rsidR="00000000" w:rsidDel="00000000" w:rsidP="00000000" w:rsidRDefault="00000000" w:rsidRPr="00000000" w14:paraId="00000006">
      <w:pPr>
        <w:widowControl w:val="0"/>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Riesgo cambiario:</w:t>
      </w:r>
      <w:r w:rsidDel="00000000" w:rsidR="00000000" w:rsidRPr="00000000">
        <w:rPr>
          <w:rFonts w:ascii="Times New Roman" w:cs="Times New Roman" w:eastAsia="Times New Roman" w:hAnsi="Times New Roman"/>
          <w:rtl w:val="0"/>
        </w:rPr>
        <w:t xml:space="preserve"> Posibilidad de sufrir pérdidas económicas debido a la variación imprevista o volatilidad en el tipo de cambio entre dos monedas (por ejemplo, que el guaraní se deprecie frente al dólar y la deuda se vuelva más cara).</w:t>
      </w:r>
    </w:p>
    <w:p w:rsidR="00000000" w:rsidDel="00000000" w:rsidP="00000000" w:rsidRDefault="00000000" w:rsidRPr="00000000" w14:paraId="00000007">
      <w:pPr>
        <w:widowControl w:val="0"/>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Dinamismo:</w:t>
      </w:r>
      <w:r w:rsidDel="00000000" w:rsidR="00000000" w:rsidRPr="00000000">
        <w:rPr>
          <w:rFonts w:ascii="Times New Roman" w:cs="Times New Roman" w:eastAsia="Times New Roman" w:hAnsi="Times New Roman"/>
          <w:rtl w:val="0"/>
        </w:rPr>
        <w:t xml:space="preserve"> En el ámbito económico, se refiere a la velocidad, energía o nivel de actividad y movimiento que presenta un determinado sector o mercado.</w:t>
      </w:r>
    </w:p>
    <w:p w:rsidR="00000000" w:rsidDel="00000000" w:rsidP="00000000" w:rsidRDefault="00000000" w:rsidRPr="00000000" w14:paraId="00000008">
      <w:pPr>
        <w:widowControl w:val="0"/>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Capital operativo:</w:t>
      </w:r>
      <w:r w:rsidDel="00000000" w:rsidR="00000000" w:rsidRPr="00000000">
        <w:rPr>
          <w:rFonts w:ascii="Times New Roman" w:cs="Times New Roman" w:eastAsia="Times New Roman" w:hAnsi="Times New Roman"/>
          <w:rtl w:val="0"/>
        </w:rPr>
        <w:t xml:space="preserve"> Recursos financieros que requiere una empresa para cubrir sus operaciones diarias de corto plazo (pago de salarios, compra de materia prima, mantenimiento) antes de recibir ingresos por ventas.</w:t>
      </w:r>
    </w:p>
    <w:p w:rsidR="00000000" w:rsidDel="00000000" w:rsidP="00000000" w:rsidRDefault="00000000" w:rsidRPr="00000000" w14:paraId="00000009">
      <w:pPr>
        <w:widowControl w:val="0"/>
        <w:numPr>
          <w:ilvl w:val="0"/>
          <w:numId w:val="1"/>
        </w:numPr>
        <w:spacing w:after="24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Liquidez:</w:t>
      </w:r>
      <w:r w:rsidDel="00000000" w:rsidR="00000000" w:rsidRPr="00000000">
        <w:rPr>
          <w:rFonts w:ascii="Times New Roman" w:cs="Times New Roman" w:eastAsia="Times New Roman" w:hAnsi="Times New Roman"/>
          <w:rtl w:val="0"/>
        </w:rPr>
        <w:t xml:space="preserve"> Capacidad que tienen los bancos u organismos financieros para disponer de efectivo o activos de rápida conversión a dinero, permitiéndoles otorgar préstamos y responder a sus obligaciones inmediatas.</w:t>
      </w:r>
    </w:p>
    <w:p w:rsidR="00000000" w:rsidDel="00000000" w:rsidP="00000000" w:rsidRDefault="00000000" w:rsidRPr="00000000" w14:paraId="0000000A">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m09y0efvq7y0" w:id="2"/>
      <w:bookmarkEnd w:id="2"/>
      <w:r w:rsidDel="00000000" w:rsidR="00000000" w:rsidRPr="00000000">
        <w:rPr>
          <w:rFonts w:ascii="Times New Roman" w:cs="Times New Roman" w:eastAsia="Times New Roman" w:hAnsi="Times New Roman"/>
          <w:b w:val="1"/>
          <w:bCs w:val="1"/>
          <w:color w:val="000000"/>
          <w:sz w:val="26"/>
          <w:szCs w:val="26"/>
          <w:rtl w:val="0"/>
        </w:rPr>
        <w:t xml:space="preserve">5. Conclusión</w:t>
      </w:r>
    </w:p>
    <w:p w:rsidR="00000000" w:rsidDel="00000000" w:rsidP="00000000" w:rsidRDefault="00000000" w:rsidRPr="00000000" w14:paraId="000000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comportamiento del crédito en Paraguay refleja una economía de doble velocidad pero complementaria: mientras el mercado interno impulsa el crédito en guaraníes para consumo y vivienda, el sector exportador reactiva la demanda en dólares aprovechando la estabilidad del tipo de cambio. El crecimiento acelerado de los préstamos en dólares demuestra confianza y solidez en los sectores productivos ligados al comercio exterior, aunque impone al sistema bancario la tarea de mantener criterios rigurosos de concesión para evitar que la exposición al riesgo cambiario afecte la solvencia de los prestatarios. </w:t>
      </w:r>
    </w:p>
    <w:p w:rsidR="00000000" w:rsidDel="00000000" w:rsidP="00000000" w:rsidRDefault="00000000" w:rsidRPr="00000000" w14:paraId="0000000C">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e11bhfvn5dhn" w:id="3"/>
      <w:bookmarkEnd w:id="3"/>
      <w:r w:rsidDel="00000000" w:rsidR="00000000" w:rsidRPr="00000000">
        <w:rPr>
          <w:rFonts w:ascii="Times New Roman" w:cs="Times New Roman" w:eastAsia="Times New Roman" w:hAnsi="Times New Roman"/>
          <w:b w:val="1"/>
          <w:bCs w:val="1"/>
          <w:color w:val="000000"/>
          <w:sz w:val="26"/>
          <w:szCs w:val="26"/>
          <w:rtl w:val="0"/>
        </w:rPr>
        <w:t xml:space="preserve">6. Recomendación</w:t>
      </w:r>
    </w:p>
    <w:p w:rsidR="00000000" w:rsidDel="00000000" w:rsidP="00000000" w:rsidRDefault="00000000" w:rsidRPr="00000000" w14:paraId="0000000D">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Mantener la disciplina de calce de monedas:</w:t>
      </w:r>
      <w:r w:rsidDel="00000000" w:rsidR="00000000" w:rsidRPr="00000000">
        <w:rPr>
          <w:rFonts w:ascii="Times New Roman" w:cs="Times New Roman" w:eastAsia="Times New Roman" w:hAnsi="Times New Roman"/>
          <w:rtl w:val="0"/>
        </w:rPr>
        <w:t xml:space="preserve"> Las empresas y personas deben endeudarse únicamente en la moneda en la que generan sus ingresos. Quienes operan en guaraníes deben evitar tomar compromisos en dólares para no quedar vulnerables ante eventuales depreciaciones de la moneda local.</w:t>
      </w:r>
    </w:p>
    <w:p w:rsidR="00000000" w:rsidDel="00000000" w:rsidP="00000000" w:rsidRDefault="00000000" w:rsidRPr="00000000" w14:paraId="0000000E">
      <w:pPr>
        <w:widowControl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Implementar coberturas financieras:</w:t>
      </w:r>
      <w:r w:rsidDel="00000000" w:rsidR="00000000" w:rsidRPr="00000000">
        <w:rPr>
          <w:rFonts w:ascii="Times New Roman" w:cs="Times New Roman" w:eastAsia="Times New Roman" w:hAnsi="Times New Roman"/>
          <w:rtl w:val="0"/>
        </w:rPr>
        <w:t xml:space="preserve"> Aquellos sectores que necesiten financiamiento en moneda extranjera pero tengan exposición parcial al mercado local deberían recurrir a instrumentos de cobertura de riesgo cambiario (como contratos a futuro).</w:t>
      </w:r>
    </w:p>
    <w:p w:rsidR="00000000" w:rsidDel="00000000" w:rsidP="00000000" w:rsidRDefault="00000000" w:rsidRPr="00000000" w14:paraId="0000000F">
      <w:pPr>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Monitoreo de la volatilidad internacional:</w:t>
      </w:r>
      <w:r w:rsidDel="00000000" w:rsidR="00000000" w:rsidRPr="00000000">
        <w:rPr>
          <w:rFonts w:ascii="Times New Roman" w:cs="Times New Roman" w:eastAsia="Times New Roman" w:hAnsi="Times New Roman"/>
          <w:rtl w:val="0"/>
        </w:rPr>
        <w:t xml:space="preserve"> Se sugiere a las entidades bancarias seguir de cerca el contexto macroeconómico global y las tasas internacionales antes de acelerar la colocación de cartera en dólares durante el segundo semestre.</w:t>
      </w:r>
    </w:p>
    <w:p w:rsidR="00000000" w:rsidDel="00000000" w:rsidP="00000000" w:rsidRDefault="00000000" w:rsidRPr="00000000" w14:paraId="00000010">
      <w:pPr>
        <w:widowControl w:val="0"/>
        <w:spacing w:after="240" w:before="2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