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Tarea N°: 6</w:t>
        <w:tab/>
        <w:tab/>
        <w:tab/>
        <w:tab/>
        <w:tab/>
        <w:tab/>
        <w:t xml:space="preserve">Alumno: Héctor Ramirez</w:t>
      </w:r>
    </w:p>
    <w:p w:rsidR="00000000" w:rsidDel="00000000" w:rsidP="00000000" w:rsidRDefault="00000000" w:rsidRPr="00000000" w14:paraId="00000002">
      <w:pPr>
        <w:pStyle w:val="Heading1"/>
        <w:keepLines w:val="1"/>
        <w:pBdr>
          <w:top w:color="auto" w:space="0" w:sz="0" w:val="none"/>
          <w:left w:color="auto" w:space="0" w:sz="0" w:val="none"/>
          <w:bottom w:color="auto" w:space="0" w:sz="0" w:val="none"/>
          <w:right w:color="auto" w:space="0" w:sz="0" w:val="none"/>
          <w:between w:color="auto" w:space="0" w:sz="0" w:val="none"/>
        </w:pBdr>
        <w:shd w:fill="ffffff" w:val="clear"/>
        <w:spacing w:after="300" w:before="300" w:line="258.1132075471698" w:lineRule="auto"/>
        <w:rPr>
          <w:rFonts w:ascii="Google Sans" w:cs="Google Sans" w:eastAsia="Google Sans" w:hAnsi="Google Sans"/>
          <w:color w:val="1f1f1f"/>
          <w:sz w:val="24"/>
          <w:szCs w:val="24"/>
        </w:rPr>
      </w:pPr>
      <w:bookmarkStart w:colFirst="0" w:colLast="0" w:name="_v6cciz638x1c" w:id="0"/>
      <w:bookmarkEnd w:id="0"/>
      <w:r w:rsidDel="00000000" w:rsidR="00000000" w:rsidRPr="00000000">
        <w:rPr>
          <w:rFonts w:ascii="Merriweather" w:cs="Merriweather" w:eastAsia="Merriweather" w:hAnsi="Merriweather"/>
          <w:color w:val="313032"/>
          <w:sz w:val="24"/>
          <w:szCs w:val="24"/>
          <w:rtl w:val="0"/>
        </w:rPr>
        <w:t xml:space="preserve">La caída del dólar golpea los márgenes y encarece los nuevos proyectos inmobiliarios - ElNacional (12-09-2026)</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Resumen de la noticia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sostenida depreciación del dólar frente al guaraní está afectando de forma negativa al sector inmobiliario paraguayo. Debido a que cerca del 90% de los costos de construcción (mano de obra, servicios y materiales) se pagan en guaraníes pero los inmuebles se comercializan en dólares, la baja de la divisa reduce los ingresos reales de los desarrolladores al convertir sus ventas a moneda local. Con un incremento del 20% en los costos de construcción medidos en dólares, el sector enfrenta una erosión en sus márgenes de rentabilidad, obligando a aumentar los precios de salida de los nuevos proyectos para sostener su viabilidad.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Vocabulario y definiciones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Descalce de monedas:</w:t>
      </w:r>
      <w:r w:rsidDel="00000000" w:rsidR="00000000" w:rsidRPr="00000000">
        <w:rPr>
          <w:rFonts w:ascii="Google Sans" w:cs="Google Sans" w:eastAsia="Google Sans" w:hAnsi="Google Sans"/>
          <w:color w:val="1f1f1f"/>
          <w:rtl w:val="0"/>
        </w:rPr>
        <w:t xml:space="preserve"> Desequilibrio financiero que ocurre cuando una empresa asume sus costos y obligaciones en una moneda (guaraníes) mientras fija sus ingresos y ventas en otra (dólares).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Erosión de márgenes:</w:t>
      </w:r>
      <w:r w:rsidDel="00000000" w:rsidR="00000000" w:rsidRPr="00000000">
        <w:rPr>
          <w:rFonts w:ascii="Google Sans" w:cs="Google Sans" w:eastAsia="Google Sans" w:hAnsi="Google Sans"/>
          <w:color w:val="1f1f1f"/>
          <w:rtl w:val="0"/>
        </w:rPr>
        <w:t xml:space="preserve"> Reducción progresiva del porcentaje de ganancia o rentabilidad de un negocio como consecuencia del aumento imprevisto de los costos frente a ingresos fijos o decrecientes.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Supuestos cambiarios:</w:t>
      </w:r>
      <w:r w:rsidDel="00000000" w:rsidR="00000000" w:rsidRPr="00000000">
        <w:rPr>
          <w:rFonts w:ascii="Google Sans" w:cs="Google Sans" w:eastAsia="Google Sans" w:hAnsi="Google Sans"/>
          <w:color w:val="1f1f1f"/>
          <w:rtl w:val="0"/>
        </w:rPr>
        <w:t xml:space="preserve"> Proyecciones y estimaciones sobre el valor futuro del tipo de cambio utilizadas durante la planificación financiera de un proyecto a largo plazo.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Efecto paradójico:</w:t>
      </w:r>
      <w:r w:rsidDel="00000000" w:rsidR="00000000" w:rsidRPr="00000000">
        <w:rPr>
          <w:rFonts w:ascii="Google Sans" w:cs="Google Sans" w:eastAsia="Google Sans" w:hAnsi="Google Sans"/>
          <w:color w:val="1f1f1f"/>
          <w:rtl w:val="0"/>
        </w:rPr>
        <w:t xml:space="preserve"> Resultado económico contrario a la expectativa habitual; en este caso, la caída del dólar en lugar de abaratar las viviendas en esa moneda, provoca un encarecimiento en sus precios de venta.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Contratos forward (cobertura cambiaria):</w:t>
      </w:r>
      <w:r w:rsidDel="00000000" w:rsidR="00000000" w:rsidRPr="00000000">
        <w:rPr>
          <w:rFonts w:ascii="Google Sans" w:cs="Google Sans" w:eastAsia="Google Sans" w:hAnsi="Google Sans"/>
          <w:color w:val="1f1f1f"/>
          <w:rtl w:val="0"/>
        </w:rPr>
        <w:t xml:space="preserve"> Acuerdos financieros derivados mediante los cuales dos partes fijan de antemano el precio de compra o venta de una divisa a una fecha futura para protegerse de la volatilidad del tipo de cambio.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Conclusión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debilitamiento del dólar expone la vulnerabilidad de mantener una economía fuertemente dolarizada en la fijación de precios inmobiliarios frente a un mercado de costos pesificado en guaraníes. Esta coyuntura rompe el esquema tradicional de planificación del sector, forzando un encarecimiento de la oferta para cubrir los costos internos. Para preservar el dinamismo de la industria y la accesibilidad para los compradores, el mercado requerirá reajustar sus estrategias de comercialización y migrar paulatinamente a esquemas de financiamiento o fijación de precios más alineados a la moneda local.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Recomendación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Lineamientos estratégicos para desarrolladores y compradores: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52.5" w:hanging="360"/>
      </w:pPr>
      <w:r w:rsidDel="00000000" w:rsidR="00000000" w:rsidRPr="00000000">
        <w:rPr>
          <w:rFonts w:ascii="Google Sans" w:cs="Google Sans" w:eastAsia="Google Sans" w:hAnsi="Google Sans"/>
          <w:b w:val="1"/>
          <w:bCs w:val="1"/>
          <w:color w:val="1f1f1f"/>
          <w:rtl w:val="0"/>
        </w:rPr>
        <w:t xml:space="preserve">Migración progresiva de precios a guaraníes:</w:t>
      </w:r>
      <w:r w:rsidDel="00000000" w:rsidR="00000000" w:rsidRPr="00000000">
        <w:rPr>
          <w:rFonts w:ascii="Google Sans" w:cs="Google Sans" w:eastAsia="Google Sans" w:hAnsi="Google Sans"/>
          <w:color w:val="1f1f1f"/>
          <w:rtl w:val="0"/>
        </w:rPr>
        <w:t xml:space="preserve"> Evaluar la comercialización de nuevos emprendimientos en moneda local para alinear directamente los ingresos con la estructura real de costos de construcción.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52.5" w:hanging="360"/>
      </w:pPr>
      <w:r w:rsidDel="00000000" w:rsidR="00000000" w:rsidRPr="00000000">
        <w:rPr>
          <w:rFonts w:ascii="Google Sans" w:cs="Google Sans" w:eastAsia="Google Sans" w:hAnsi="Google Sans"/>
          <w:b w:val="1"/>
          <w:bCs w:val="1"/>
          <w:color w:val="1f1f1f"/>
          <w:rtl w:val="0"/>
        </w:rPr>
        <w:t xml:space="preserve">Uso de instrumentos de cobertura:</w:t>
      </w:r>
      <w:r w:rsidDel="00000000" w:rsidR="00000000" w:rsidRPr="00000000">
        <w:rPr>
          <w:rFonts w:ascii="Google Sans" w:cs="Google Sans" w:eastAsia="Google Sans" w:hAnsi="Google Sans"/>
          <w:color w:val="1f1f1f"/>
          <w:rtl w:val="0"/>
        </w:rPr>
        <w:t xml:space="preserve"> Contratar productos financieros como </w:t>
      </w:r>
      <w:r w:rsidDel="00000000" w:rsidR="00000000" w:rsidRPr="00000000">
        <w:rPr>
          <w:rFonts w:ascii="Google Sans" w:cs="Google Sans" w:eastAsia="Google Sans" w:hAnsi="Google Sans"/>
          <w:i w:val="1"/>
          <w:iCs w:val="1"/>
          <w:color w:val="1f1f1f"/>
          <w:rtl w:val="0"/>
        </w:rPr>
        <w:t xml:space="preserve">forwards</w:t>
      </w:r>
      <w:r w:rsidDel="00000000" w:rsidR="00000000" w:rsidRPr="00000000">
        <w:rPr>
          <w:rFonts w:ascii="Google Sans" w:cs="Google Sans" w:eastAsia="Google Sans" w:hAnsi="Google Sans"/>
          <w:color w:val="1f1f1f"/>
          <w:rtl w:val="0"/>
        </w:rPr>
        <w:t xml:space="preserve"> o seguros de cambio para blindar la conversión de los flujos de ventas pactados en dólares durante la etapa de obra.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52.5" w:hanging="360"/>
      </w:pPr>
      <w:r w:rsidDel="00000000" w:rsidR="00000000" w:rsidRPr="00000000">
        <w:rPr>
          <w:rFonts w:ascii="Google Sans" w:cs="Google Sans" w:eastAsia="Google Sans" w:hAnsi="Google Sans"/>
          <w:b w:val="1"/>
          <w:bCs w:val="1"/>
          <w:color w:val="1f1f1f"/>
          <w:rtl w:val="0"/>
        </w:rPr>
        <w:t xml:space="preserve">Revisión y flexibilidad presupuestaria:</w:t>
      </w:r>
      <w:r w:rsidDel="00000000" w:rsidR="00000000" w:rsidRPr="00000000">
        <w:rPr>
          <w:rFonts w:ascii="Google Sans" w:cs="Google Sans" w:eastAsia="Google Sans" w:hAnsi="Google Sans"/>
          <w:color w:val="1f1f1f"/>
          <w:rtl w:val="0"/>
        </w:rPr>
        <w:t xml:space="preserve"> Incorporar márgenes de contingencia cambiaria más amplios en los análisis de factibilidad financiera de proyectos de larga ejecución.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5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