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bookmarkStart w:colFirst="0" w:colLast="0" w:name="_ciyi5nn30je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TRABAJO PRÁCTICO SEMANAL</w:t>
        <w:tab/>
        <w:tab/>
        <w:tab/>
        <w:tab/>
        <w:t xml:space="preserve">TAREA N°: 3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="258.1132075471698" w:lineRule="auto"/>
        <w:rPr/>
      </w:pPr>
      <w:bookmarkStart w:colFirst="0" w:colLast="0" w:name="_sp2jqslcjbvb" w:id="1"/>
      <w:bookmarkEnd w:id="1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313032"/>
          <w:sz w:val="28"/>
          <w:szCs w:val="28"/>
          <w:rtl w:val="0"/>
        </w:rPr>
        <w:t xml:space="preserve">Histórica superzafra en Paraguay 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17 Agosto de 2026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-El Nacional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widowControl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8nigdu6z5sv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Resumen de la noticia</w:t>
      </w:r>
    </w:p>
    <w:p w:rsidR="00000000" w:rsidDel="00000000" w:rsidP="00000000" w:rsidRDefault="00000000" w:rsidRPr="00000000" w14:paraId="00000004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Sudamérica registró una superzafra histórica en la campaña 2026 gracias a condiciones climáticas favorables y la expansión agrícola. Paraguay alcanzó un récord de 12,29 millones de toneladas de soja, concentrando el 97% de su producción en la Región Oriental y previendo exportar cerca de 8 millones de toneladas. Por su parte, Argentina creció un 21,25 % interanual alcanzando 163,2 millones de toneladas en sus principales cultivos, mientras que Brasil rompió registros al sumar 353 millones de toneladas de granos. Este hito fortalece el ingreso de divisas y posiciona a la región como el principal motor alimentario del mundo.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 Vocabulario y definiciones 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91919"/>
          <w:rtl w:val="0"/>
        </w:rPr>
        <w:t xml:space="preserve">Superzafra</w:t>
      </w:r>
      <w:r w:rsidDel="00000000" w:rsidR="00000000" w:rsidRPr="00000000">
        <w:rPr>
          <w:rFonts w:ascii="Times New Roman" w:cs="Times New Roman" w:eastAsia="Times New Roman" w:hAnsi="Times New Roman"/>
          <w:color w:val="191919"/>
          <w:rtl w:val="0"/>
        </w:rPr>
        <w:t xml:space="preserve">: Cosecha o recolección agrícola que alcanza volúmenes extraordinariamente altos o récord.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91919"/>
          <w:rtl w:val="0"/>
        </w:rPr>
        <w:t xml:space="preserve">Frontera agrícola:</w:t>
      </w:r>
      <w:r w:rsidDel="00000000" w:rsidR="00000000" w:rsidRPr="00000000">
        <w:rPr>
          <w:rFonts w:ascii="Times New Roman" w:cs="Times New Roman" w:eastAsia="Times New Roman" w:hAnsi="Times New Roman"/>
          <w:color w:val="191919"/>
          <w:rtl w:val="0"/>
        </w:rPr>
        <w:t xml:space="preserve"> Límite hasta el cual se extienden las tierras dedicadas al cultivo y la producción agropecuaria.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91919"/>
          <w:rtl w:val="0"/>
        </w:rPr>
        <w:t xml:space="preserve">Divisas</w:t>
      </w:r>
      <w:r w:rsidDel="00000000" w:rsidR="00000000" w:rsidRPr="00000000">
        <w:rPr>
          <w:rFonts w:ascii="Times New Roman" w:cs="Times New Roman" w:eastAsia="Times New Roman" w:hAnsi="Times New Roman"/>
          <w:color w:val="191919"/>
          <w:rtl w:val="0"/>
        </w:rPr>
        <w:t xml:space="preserve">: Moneda extranjera manejada en el comercio internacional que ingresa a la economía de un país mediante las exportaciones.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91919"/>
          <w:rtl w:val="0"/>
        </w:rPr>
        <w:t xml:space="preserve">Interanual</w:t>
      </w:r>
      <w:r w:rsidDel="00000000" w:rsidR="00000000" w:rsidRPr="00000000">
        <w:rPr>
          <w:rFonts w:ascii="Times New Roman" w:cs="Times New Roman" w:eastAsia="Times New Roman" w:hAnsi="Times New Roman"/>
          <w:color w:val="191919"/>
          <w:rtl w:val="0"/>
        </w:rPr>
        <w:t xml:space="preserve">: Comparación de una cifra o indicador económico entre el mismo periodo o año respecto al anterior.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91919"/>
          <w:rtl w:val="0"/>
        </w:rPr>
        <w:t xml:space="preserve">Resiliencia productiva</w:t>
      </w:r>
      <w:r w:rsidDel="00000000" w:rsidR="00000000" w:rsidRPr="00000000">
        <w:rPr>
          <w:rFonts w:ascii="Times New Roman" w:cs="Times New Roman" w:eastAsia="Times New Roman" w:hAnsi="Times New Roman"/>
          <w:color w:val="191919"/>
          <w:rtl w:val="0"/>
        </w:rPr>
        <w:t xml:space="preserve">: Capacidad del sector agrícola para adaptarse, recuperarse y mantener un alto rendimiento frente a adversidades o cambios climáticos.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widowControl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ozr2dhsfu4c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 Conclusión</w:t>
      </w:r>
    </w:p>
    <w:p w:rsidR="00000000" w:rsidDel="00000000" w:rsidP="00000000" w:rsidRDefault="00000000" w:rsidRPr="00000000" w14:paraId="0000000D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campaña agrícola de 2026 demuestra que la combinación de clima favorable, innovación tecnológica y expansión del área sembrada consolida a Sudamérica como líder del suministro mundial de alimentos. En el ámbito local, el volumen histórico de la soja paraguaya refuerza la economía nacional a través del procesamiento industrial y la masiva inyección de divisas por exportación.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widowControl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wjf5gyneud9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Recome</w:t>
      </w:r>
    </w:p>
    <w:p w:rsidR="00000000" w:rsidDel="00000000" w:rsidP="00000000" w:rsidRDefault="00000000" w:rsidRPr="00000000" w14:paraId="0000000F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widowControl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0s0du9pplv4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 Recomendación</w:t>
      </w:r>
    </w:p>
    <w:p w:rsidR="00000000" w:rsidDel="00000000" w:rsidP="00000000" w:rsidRDefault="00000000" w:rsidRPr="00000000" w14:paraId="00000011">
      <w:pPr>
        <w:widowControl w:val="0"/>
        <w:spacing w:after="24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recomienda aprovechar este flujo de ingresos para reinvertir en tecnología e infraestructura logística (almacenamiento y transporte), además de diversificar la producción agrícola para reducir la dependencia de un solo cultivo frente a futuras fluctuaciones de los mercados internacionales o imprevistos climáticos.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240" w:before="24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