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1F264" w14:textId="77777777" w:rsidR="003364D4" w:rsidRPr="003364D4" w:rsidRDefault="003364D4" w:rsidP="003364D4">
      <w:pPr>
        <w:rPr>
          <w:b/>
          <w:bCs/>
          <w:lang w:val="es-MX"/>
        </w:rPr>
      </w:pPr>
      <w:r w:rsidRPr="003364D4">
        <w:rPr>
          <w:b/>
          <w:bCs/>
          <w:lang w:val="es-MX"/>
        </w:rPr>
        <w:t>Tasas de interés presentaron reducción en julio, reporta el BCP</w:t>
      </w:r>
    </w:p>
    <w:p w14:paraId="4B6E99F2" w14:textId="77777777" w:rsidR="003364D4" w:rsidRPr="003364D4" w:rsidRDefault="003364D4" w:rsidP="003364D4">
      <w:pPr>
        <w:rPr>
          <w:lang w:val="es-MX"/>
        </w:rPr>
      </w:pPr>
      <w:r w:rsidRPr="003364D4">
        <w:rPr>
          <w:lang w:val="es-MX"/>
        </w:rPr>
        <w:t>El informe de Indicadores Financieros del Banco Central del Paraguay (BCP) reveló que en julio las tasas de interés bancarias registraron una baja generalizada, tanto en la comparación mensual como en la interanual:</w:t>
      </w:r>
    </w:p>
    <w:p w14:paraId="6D14B719" w14:textId="04A2A9CA" w:rsidR="003364D4" w:rsidRPr="003364D4" w:rsidRDefault="003364D4" w:rsidP="003364D4">
      <w:pPr>
        <w:numPr>
          <w:ilvl w:val="0"/>
          <w:numId w:val="1"/>
        </w:numPr>
        <w:rPr>
          <w:lang w:val="es-MX"/>
        </w:rPr>
      </w:pPr>
      <w:r w:rsidRPr="003364D4">
        <w:rPr>
          <w:lang w:val="es-MX"/>
        </w:rPr>
        <w:t>Moneda local: El promedio ponderado se situó en 15,61 %, lo que representa una baja de 0,36 puntos porcentuales (</w:t>
      </w:r>
      <w:proofErr w:type="spellStart"/>
      <w:r w:rsidRPr="003364D4">
        <w:rPr>
          <w:lang w:val="es-MX"/>
        </w:rPr>
        <w:t>pp</w:t>
      </w:r>
      <w:proofErr w:type="spellEnd"/>
      <w:r w:rsidRPr="003364D4">
        <w:rPr>
          <w:lang w:val="es-MX"/>
        </w:rPr>
        <w:t xml:space="preserve">) respecto a junio y de 0,52 </w:t>
      </w:r>
      <w:proofErr w:type="spellStart"/>
      <w:r w:rsidRPr="003364D4">
        <w:rPr>
          <w:lang w:val="es-MX"/>
        </w:rPr>
        <w:t>pp</w:t>
      </w:r>
      <w:proofErr w:type="spellEnd"/>
      <w:r w:rsidRPr="003364D4">
        <w:rPr>
          <w:lang w:val="es-MX"/>
        </w:rPr>
        <w:t xml:space="preserve"> frente a julio del año previo.</w:t>
      </w:r>
    </w:p>
    <w:p w14:paraId="4EC12049" w14:textId="77777777" w:rsidR="003364D4" w:rsidRPr="003364D4" w:rsidRDefault="003364D4" w:rsidP="003364D4">
      <w:pPr>
        <w:numPr>
          <w:ilvl w:val="1"/>
          <w:numId w:val="1"/>
        </w:numPr>
        <w:rPr>
          <w:lang w:val="es-MX"/>
        </w:rPr>
      </w:pPr>
      <w:r w:rsidRPr="003364D4">
        <w:rPr>
          <w:i/>
          <w:iCs/>
          <w:lang w:val="es-MX"/>
        </w:rPr>
        <w:t>Por segmentos:</w:t>
      </w:r>
      <w:r w:rsidRPr="003364D4">
        <w:rPr>
          <w:lang w:val="es-MX"/>
        </w:rPr>
        <w:t xml:space="preserve"> Los créditos de consumo tuvieron la mayor caída mensual (-0,98 </w:t>
      </w:r>
      <w:proofErr w:type="spellStart"/>
      <w:r w:rsidRPr="003364D4">
        <w:rPr>
          <w:lang w:val="es-MX"/>
        </w:rPr>
        <w:t>pp</w:t>
      </w:r>
      <w:proofErr w:type="spellEnd"/>
      <w:r w:rsidRPr="003364D4">
        <w:rPr>
          <w:lang w:val="es-MX"/>
        </w:rPr>
        <w:t>, ubicándose en 21,93 %). Las demás carteras quedaron en: comercial (12,53 %), desarrollo (11,12 %) y vivienda (9,60 %).</w:t>
      </w:r>
    </w:p>
    <w:p w14:paraId="62006111" w14:textId="77777777" w:rsidR="003364D4" w:rsidRPr="003364D4" w:rsidRDefault="003364D4" w:rsidP="003364D4">
      <w:pPr>
        <w:numPr>
          <w:ilvl w:val="1"/>
          <w:numId w:val="1"/>
        </w:numPr>
        <w:rPr>
          <w:lang w:val="es-MX"/>
        </w:rPr>
      </w:pPr>
      <w:r w:rsidRPr="003364D4">
        <w:rPr>
          <w:i/>
          <w:iCs/>
          <w:lang w:val="es-MX"/>
        </w:rPr>
        <w:t>La excepción:</w:t>
      </w:r>
      <w:r w:rsidRPr="003364D4">
        <w:rPr>
          <w:lang w:val="es-MX"/>
        </w:rPr>
        <w:t xml:space="preserve"> Las tarjetas de crédito fueron a contramano y subieron a 19,07 % (+0,41 </w:t>
      </w:r>
      <w:proofErr w:type="spellStart"/>
      <w:r w:rsidRPr="003364D4">
        <w:rPr>
          <w:lang w:val="es-MX"/>
        </w:rPr>
        <w:t>pp</w:t>
      </w:r>
      <w:proofErr w:type="spellEnd"/>
      <w:r w:rsidRPr="003364D4">
        <w:rPr>
          <w:lang w:val="es-MX"/>
        </w:rPr>
        <w:t xml:space="preserve"> mensual y +2,62 </w:t>
      </w:r>
      <w:proofErr w:type="spellStart"/>
      <w:r w:rsidRPr="003364D4">
        <w:rPr>
          <w:lang w:val="es-MX"/>
        </w:rPr>
        <w:t>pp</w:t>
      </w:r>
      <w:proofErr w:type="spellEnd"/>
      <w:r w:rsidRPr="003364D4">
        <w:rPr>
          <w:lang w:val="es-MX"/>
        </w:rPr>
        <w:t xml:space="preserve"> interanual).</w:t>
      </w:r>
    </w:p>
    <w:p w14:paraId="4398AD21" w14:textId="563A7935" w:rsidR="003364D4" w:rsidRPr="003364D4" w:rsidRDefault="003364D4" w:rsidP="003364D4">
      <w:pPr>
        <w:numPr>
          <w:ilvl w:val="0"/>
          <w:numId w:val="1"/>
        </w:numPr>
        <w:rPr>
          <w:lang w:val="es-MX"/>
        </w:rPr>
      </w:pPr>
      <w:r w:rsidRPr="003364D4">
        <w:rPr>
          <w:lang w:val="es-MX"/>
        </w:rPr>
        <w:t>Moneda extranjera: Presentan niveles notablemente más bajos. El promedio ponderado bajó a 7,57 %</w:t>
      </w:r>
      <w:r>
        <w:rPr>
          <w:lang w:val="es-MX"/>
        </w:rPr>
        <w:t xml:space="preserve">. </w:t>
      </w:r>
      <w:r w:rsidRPr="003364D4">
        <w:rPr>
          <w:lang w:val="es-MX"/>
        </w:rPr>
        <w:t xml:space="preserve">El mayor abaratamiento se dio en la cartera de vivienda (6,32 %), con un descenso de 1,65 </w:t>
      </w:r>
      <w:proofErr w:type="spellStart"/>
      <w:r w:rsidRPr="003364D4">
        <w:rPr>
          <w:lang w:val="es-MX"/>
        </w:rPr>
        <w:t>pp</w:t>
      </w:r>
      <w:proofErr w:type="spellEnd"/>
      <w:r w:rsidRPr="003364D4">
        <w:rPr>
          <w:lang w:val="es-MX"/>
        </w:rPr>
        <w:t xml:space="preserve"> mensual.</w:t>
      </w:r>
    </w:p>
    <w:p w14:paraId="5336B0AA" w14:textId="77777777" w:rsidR="003364D4" w:rsidRPr="003364D4" w:rsidRDefault="003364D4" w:rsidP="003364D4">
      <w:pPr>
        <w:rPr>
          <w:lang w:val="es-MX"/>
        </w:rPr>
      </w:pPr>
      <w:r w:rsidRPr="003364D4">
        <w:rPr>
          <w:lang w:val="es-MX"/>
        </w:rPr>
        <w:t>Minidiccionario de términos económicos</w:t>
      </w:r>
    </w:p>
    <w:p w14:paraId="74245640" w14:textId="77777777" w:rsidR="003364D4" w:rsidRPr="003364D4" w:rsidRDefault="003364D4" w:rsidP="003364D4">
      <w:pPr>
        <w:numPr>
          <w:ilvl w:val="0"/>
          <w:numId w:val="2"/>
        </w:numPr>
        <w:rPr>
          <w:lang w:val="es-MX"/>
        </w:rPr>
      </w:pPr>
      <w:r w:rsidRPr="003364D4">
        <w:rPr>
          <w:lang w:val="es-MX"/>
        </w:rPr>
        <w:t>Tasa de interés: Es el costo de pedir dinero prestado o la recompensa por ahorrarlo, expresado habitualmente como un porcentaje anual sobre el capital.</w:t>
      </w:r>
    </w:p>
    <w:p w14:paraId="310DD60E" w14:textId="77777777" w:rsidR="003364D4" w:rsidRPr="003364D4" w:rsidRDefault="003364D4" w:rsidP="003364D4">
      <w:pPr>
        <w:numPr>
          <w:ilvl w:val="0"/>
          <w:numId w:val="2"/>
        </w:numPr>
        <w:rPr>
          <w:lang w:val="es-MX"/>
        </w:rPr>
      </w:pPr>
      <w:r w:rsidRPr="003364D4">
        <w:rPr>
          <w:lang w:val="es-MX"/>
        </w:rPr>
        <w:t xml:space="preserve">Promedio ponderado: Cálculo del promedio que asigna un peso específico a cada elemento según su volumen o importancia relativa (no pesa igual un crédito corporativo multimillonario que un </w:t>
      </w:r>
      <w:proofErr w:type="spellStart"/>
      <w:r w:rsidRPr="003364D4">
        <w:rPr>
          <w:lang w:val="es-MX"/>
        </w:rPr>
        <w:t>micropréstamo</w:t>
      </w:r>
      <w:proofErr w:type="spellEnd"/>
      <w:r w:rsidRPr="003364D4">
        <w:rPr>
          <w:lang w:val="es-MX"/>
        </w:rPr>
        <w:t xml:space="preserve"> personal).</w:t>
      </w:r>
    </w:p>
    <w:p w14:paraId="7AD993D9" w14:textId="77777777" w:rsidR="003364D4" w:rsidRPr="003364D4" w:rsidRDefault="003364D4" w:rsidP="003364D4">
      <w:pPr>
        <w:numPr>
          <w:ilvl w:val="0"/>
          <w:numId w:val="2"/>
        </w:numPr>
        <w:rPr>
          <w:lang w:val="es-MX"/>
        </w:rPr>
      </w:pPr>
      <w:r w:rsidRPr="003364D4">
        <w:rPr>
          <w:lang w:val="es-MX"/>
        </w:rPr>
        <w:t>Puntos porcentuales (</w:t>
      </w:r>
      <w:proofErr w:type="spellStart"/>
      <w:r w:rsidRPr="003364D4">
        <w:rPr>
          <w:lang w:val="es-MX"/>
        </w:rPr>
        <w:t>pp</w:t>
      </w:r>
      <w:proofErr w:type="spellEnd"/>
      <w:r w:rsidRPr="003364D4">
        <w:rPr>
          <w:lang w:val="es-MX"/>
        </w:rPr>
        <w:t>): Unidad para medir la diferencia matemática directa entre dos porcentajes (pasar de 15,97 % a 15,61 % equivale a una reducción de 0,36 puntos porcentuales, no a una caída del 0,36 %).</w:t>
      </w:r>
    </w:p>
    <w:p w14:paraId="0809F7F4" w14:textId="77777777" w:rsidR="003364D4" w:rsidRPr="003364D4" w:rsidRDefault="003364D4" w:rsidP="003364D4">
      <w:pPr>
        <w:numPr>
          <w:ilvl w:val="0"/>
          <w:numId w:val="2"/>
        </w:numPr>
        <w:rPr>
          <w:lang w:val="es-MX"/>
        </w:rPr>
      </w:pPr>
      <w:r w:rsidRPr="003364D4">
        <w:rPr>
          <w:lang w:val="es-MX"/>
        </w:rPr>
        <w:t>Variación interanual: Comparación porcentual o en puntos de una variable en un mes específico respecto al mismo mes del año inmediatamente anterior (ej. julio contra julio del año previo), ideal para aislar factores estacionales.</w:t>
      </w:r>
    </w:p>
    <w:p w14:paraId="0179F288" w14:textId="77777777" w:rsidR="003364D4" w:rsidRPr="003364D4" w:rsidRDefault="003364D4" w:rsidP="003364D4">
      <w:pPr>
        <w:numPr>
          <w:ilvl w:val="0"/>
          <w:numId w:val="2"/>
        </w:numPr>
        <w:rPr>
          <w:lang w:val="es-MX"/>
        </w:rPr>
      </w:pPr>
      <w:r w:rsidRPr="003364D4">
        <w:rPr>
          <w:lang w:val="es-MX"/>
        </w:rPr>
        <w:t>Cartera de crédito: Conjunto diversificado de préstamos que otorga y gestiona una entidad financiera, clasificados comúnmente según su destino (consumo, comercial, desarrollo, vivienda, etc.).</w:t>
      </w:r>
    </w:p>
    <w:p w14:paraId="3E5A094C" w14:textId="77777777" w:rsidR="003364D4" w:rsidRPr="003364D4" w:rsidRDefault="003364D4" w:rsidP="003364D4">
      <w:pPr>
        <w:rPr>
          <w:lang w:val="es-MX"/>
        </w:rPr>
      </w:pPr>
      <w:r w:rsidRPr="003364D4">
        <w:rPr>
          <w:lang w:val="es-MX"/>
        </w:rPr>
        <w:t>Recomendación desde la óptica de las Relaciones Internacionales</w:t>
      </w:r>
    </w:p>
    <w:p w14:paraId="1F2383CD" w14:textId="77777777" w:rsidR="003364D4" w:rsidRPr="003364D4" w:rsidRDefault="003364D4" w:rsidP="003364D4">
      <w:pPr>
        <w:rPr>
          <w:lang w:val="es-MX"/>
        </w:rPr>
      </w:pPr>
      <w:r w:rsidRPr="003364D4">
        <w:rPr>
          <w:lang w:val="es-MX"/>
        </w:rPr>
        <w:t>Desde la diplomacia económica y las relaciones internacionales, el abaratamiento del crédito interno y en divisas no ocurre en el vacío; es una carta de presentación geopolítica y de atracción de inversiones.</w:t>
      </w:r>
    </w:p>
    <w:p w14:paraId="3C048CC5" w14:textId="79D79A69" w:rsidR="003E5F8B" w:rsidRPr="003364D4" w:rsidRDefault="003364D4" w:rsidP="003364D4">
      <w:pPr>
        <w:numPr>
          <w:ilvl w:val="0"/>
          <w:numId w:val="3"/>
        </w:numPr>
        <w:rPr>
          <w:lang w:val="es-MX"/>
        </w:rPr>
      </w:pPr>
      <w:r w:rsidRPr="003364D4">
        <w:rPr>
          <w:lang w:val="es-MX"/>
        </w:rPr>
        <w:t xml:space="preserve">Aprovechar la ventana para atracción de IED (Inversión Extranjera Directa): Un entorno donde el crédito en dólares baja al 7,57 % y la moneda nacional se abarata refleja estabilidad macroeconómica y credibilidad institucional del BCP. La cancillería y los ministerios de comercio deben incorporar estas métricas en las misiones bilaterales (especialmente ante socios del Mercosur y extrazona como la Unión Europea o Asia-Pacífico) para proyectar a Paraguay como un </w:t>
      </w:r>
      <w:proofErr w:type="spellStart"/>
      <w:r w:rsidRPr="003364D4">
        <w:rPr>
          <w:i/>
          <w:iCs/>
          <w:lang w:val="es-MX"/>
        </w:rPr>
        <w:t>hub</w:t>
      </w:r>
      <w:proofErr w:type="spellEnd"/>
      <w:r w:rsidRPr="003364D4">
        <w:rPr>
          <w:lang w:val="es-MX"/>
        </w:rPr>
        <w:t xml:space="preserve"> predecible y competitivo para el financiamiento de proyectos industriales e infraestructura transfronteriza (por ejemplo, el Corredor Biooceánico).</w:t>
      </w:r>
    </w:p>
    <w:sectPr w:rsidR="003E5F8B" w:rsidRPr="003364D4" w:rsidSect="003364D4">
      <w:pgSz w:w="12240" w:h="20160"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54349"/>
    <w:multiLevelType w:val="multilevel"/>
    <w:tmpl w:val="0C160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F2445"/>
    <w:multiLevelType w:val="multilevel"/>
    <w:tmpl w:val="61AC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1F204E"/>
    <w:multiLevelType w:val="multilevel"/>
    <w:tmpl w:val="23F82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26689">
    <w:abstractNumId w:val="0"/>
  </w:num>
  <w:num w:numId="2" w16cid:durableId="477695778">
    <w:abstractNumId w:val="2"/>
  </w:num>
  <w:num w:numId="3" w16cid:durableId="401828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4D4"/>
    <w:rsid w:val="001663C1"/>
    <w:rsid w:val="001D15F0"/>
    <w:rsid w:val="003364D4"/>
    <w:rsid w:val="00365A26"/>
    <w:rsid w:val="003E5F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EB578"/>
  <w15:chartTrackingRefBased/>
  <w15:docId w15:val="{9488DE4D-C449-4301-96AA-E29EA26AA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Y"/>
    </w:rPr>
  </w:style>
  <w:style w:type="paragraph" w:styleId="Ttulo1">
    <w:name w:val="heading 1"/>
    <w:basedOn w:val="Normal"/>
    <w:next w:val="Normal"/>
    <w:link w:val="Ttulo1Car"/>
    <w:uiPriority w:val="9"/>
    <w:qFormat/>
    <w:rsid w:val="00336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6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64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64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64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64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64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64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64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64D4"/>
    <w:rPr>
      <w:rFonts w:asciiTheme="majorHAnsi" w:eastAsiaTheme="majorEastAsia" w:hAnsiTheme="majorHAnsi" w:cstheme="majorBidi"/>
      <w:color w:val="0F4761" w:themeColor="accent1" w:themeShade="BF"/>
      <w:sz w:val="40"/>
      <w:szCs w:val="40"/>
      <w:lang w:val="es-PY"/>
    </w:rPr>
  </w:style>
  <w:style w:type="character" w:customStyle="1" w:styleId="Ttulo2Car">
    <w:name w:val="Título 2 Car"/>
    <w:basedOn w:val="Fuentedeprrafopredeter"/>
    <w:link w:val="Ttulo2"/>
    <w:uiPriority w:val="9"/>
    <w:semiHidden/>
    <w:rsid w:val="003364D4"/>
    <w:rPr>
      <w:rFonts w:asciiTheme="majorHAnsi" w:eastAsiaTheme="majorEastAsia" w:hAnsiTheme="majorHAnsi" w:cstheme="majorBidi"/>
      <w:color w:val="0F4761" w:themeColor="accent1" w:themeShade="BF"/>
      <w:sz w:val="32"/>
      <w:szCs w:val="32"/>
      <w:lang w:val="es-PY"/>
    </w:rPr>
  </w:style>
  <w:style w:type="character" w:customStyle="1" w:styleId="Ttulo3Car">
    <w:name w:val="Título 3 Car"/>
    <w:basedOn w:val="Fuentedeprrafopredeter"/>
    <w:link w:val="Ttulo3"/>
    <w:uiPriority w:val="9"/>
    <w:semiHidden/>
    <w:rsid w:val="003364D4"/>
    <w:rPr>
      <w:rFonts w:eastAsiaTheme="majorEastAsia" w:cstheme="majorBidi"/>
      <w:color w:val="0F4761" w:themeColor="accent1" w:themeShade="BF"/>
      <w:sz w:val="28"/>
      <w:szCs w:val="28"/>
      <w:lang w:val="es-PY"/>
    </w:rPr>
  </w:style>
  <w:style w:type="character" w:customStyle="1" w:styleId="Ttulo4Car">
    <w:name w:val="Título 4 Car"/>
    <w:basedOn w:val="Fuentedeprrafopredeter"/>
    <w:link w:val="Ttulo4"/>
    <w:uiPriority w:val="9"/>
    <w:semiHidden/>
    <w:rsid w:val="003364D4"/>
    <w:rPr>
      <w:rFonts w:eastAsiaTheme="majorEastAsia" w:cstheme="majorBidi"/>
      <w:i/>
      <w:iCs/>
      <w:color w:val="0F4761" w:themeColor="accent1" w:themeShade="BF"/>
      <w:lang w:val="es-PY"/>
    </w:rPr>
  </w:style>
  <w:style w:type="character" w:customStyle="1" w:styleId="Ttulo5Car">
    <w:name w:val="Título 5 Car"/>
    <w:basedOn w:val="Fuentedeprrafopredeter"/>
    <w:link w:val="Ttulo5"/>
    <w:uiPriority w:val="9"/>
    <w:semiHidden/>
    <w:rsid w:val="003364D4"/>
    <w:rPr>
      <w:rFonts w:eastAsiaTheme="majorEastAsia" w:cstheme="majorBidi"/>
      <w:color w:val="0F4761" w:themeColor="accent1" w:themeShade="BF"/>
      <w:lang w:val="es-PY"/>
    </w:rPr>
  </w:style>
  <w:style w:type="character" w:customStyle="1" w:styleId="Ttulo6Car">
    <w:name w:val="Título 6 Car"/>
    <w:basedOn w:val="Fuentedeprrafopredeter"/>
    <w:link w:val="Ttulo6"/>
    <w:uiPriority w:val="9"/>
    <w:semiHidden/>
    <w:rsid w:val="003364D4"/>
    <w:rPr>
      <w:rFonts w:eastAsiaTheme="majorEastAsia" w:cstheme="majorBidi"/>
      <w:i/>
      <w:iCs/>
      <w:color w:val="595959" w:themeColor="text1" w:themeTint="A6"/>
      <w:lang w:val="es-PY"/>
    </w:rPr>
  </w:style>
  <w:style w:type="character" w:customStyle="1" w:styleId="Ttulo7Car">
    <w:name w:val="Título 7 Car"/>
    <w:basedOn w:val="Fuentedeprrafopredeter"/>
    <w:link w:val="Ttulo7"/>
    <w:uiPriority w:val="9"/>
    <w:semiHidden/>
    <w:rsid w:val="003364D4"/>
    <w:rPr>
      <w:rFonts w:eastAsiaTheme="majorEastAsia" w:cstheme="majorBidi"/>
      <w:color w:val="595959" w:themeColor="text1" w:themeTint="A6"/>
      <w:lang w:val="es-PY"/>
    </w:rPr>
  </w:style>
  <w:style w:type="character" w:customStyle="1" w:styleId="Ttulo8Car">
    <w:name w:val="Título 8 Car"/>
    <w:basedOn w:val="Fuentedeprrafopredeter"/>
    <w:link w:val="Ttulo8"/>
    <w:uiPriority w:val="9"/>
    <w:semiHidden/>
    <w:rsid w:val="003364D4"/>
    <w:rPr>
      <w:rFonts w:eastAsiaTheme="majorEastAsia" w:cstheme="majorBidi"/>
      <w:i/>
      <w:iCs/>
      <w:color w:val="272727" w:themeColor="text1" w:themeTint="D8"/>
      <w:lang w:val="es-PY"/>
    </w:rPr>
  </w:style>
  <w:style w:type="character" w:customStyle="1" w:styleId="Ttulo9Car">
    <w:name w:val="Título 9 Car"/>
    <w:basedOn w:val="Fuentedeprrafopredeter"/>
    <w:link w:val="Ttulo9"/>
    <w:uiPriority w:val="9"/>
    <w:semiHidden/>
    <w:rsid w:val="003364D4"/>
    <w:rPr>
      <w:rFonts w:eastAsiaTheme="majorEastAsia" w:cstheme="majorBidi"/>
      <w:color w:val="272727" w:themeColor="text1" w:themeTint="D8"/>
      <w:lang w:val="es-PY"/>
    </w:rPr>
  </w:style>
  <w:style w:type="paragraph" w:styleId="Ttulo">
    <w:name w:val="Title"/>
    <w:basedOn w:val="Normal"/>
    <w:next w:val="Normal"/>
    <w:link w:val="TtuloCar"/>
    <w:uiPriority w:val="10"/>
    <w:qFormat/>
    <w:rsid w:val="00336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64D4"/>
    <w:rPr>
      <w:rFonts w:asciiTheme="majorHAnsi" w:eastAsiaTheme="majorEastAsia" w:hAnsiTheme="majorHAnsi" w:cstheme="majorBidi"/>
      <w:spacing w:val="-10"/>
      <w:kern w:val="28"/>
      <w:sz w:val="56"/>
      <w:szCs w:val="56"/>
      <w:lang w:val="es-PY"/>
    </w:rPr>
  </w:style>
  <w:style w:type="paragraph" w:styleId="Subttulo">
    <w:name w:val="Subtitle"/>
    <w:basedOn w:val="Normal"/>
    <w:next w:val="Normal"/>
    <w:link w:val="SubttuloCar"/>
    <w:uiPriority w:val="11"/>
    <w:qFormat/>
    <w:rsid w:val="003364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64D4"/>
    <w:rPr>
      <w:rFonts w:eastAsiaTheme="majorEastAsia" w:cstheme="majorBidi"/>
      <w:color w:val="595959" w:themeColor="text1" w:themeTint="A6"/>
      <w:spacing w:val="15"/>
      <w:sz w:val="28"/>
      <w:szCs w:val="28"/>
      <w:lang w:val="es-PY"/>
    </w:rPr>
  </w:style>
  <w:style w:type="paragraph" w:styleId="Cita">
    <w:name w:val="Quote"/>
    <w:basedOn w:val="Normal"/>
    <w:next w:val="Normal"/>
    <w:link w:val="CitaCar"/>
    <w:uiPriority w:val="29"/>
    <w:qFormat/>
    <w:rsid w:val="003364D4"/>
    <w:pPr>
      <w:spacing w:before="160"/>
      <w:jc w:val="center"/>
    </w:pPr>
    <w:rPr>
      <w:i/>
      <w:iCs/>
      <w:color w:val="404040" w:themeColor="text1" w:themeTint="BF"/>
    </w:rPr>
  </w:style>
  <w:style w:type="character" w:customStyle="1" w:styleId="CitaCar">
    <w:name w:val="Cita Car"/>
    <w:basedOn w:val="Fuentedeprrafopredeter"/>
    <w:link w:val="Cita"/>
    <w:uiPriority w:val="29"/>
    <w:rsid w:val="003364D4"/>
    <w:rPr>
      <w:i/>
      <w:iCs/>
      <w:color w:val="404040" w:themeColor="text1" w:themeTint="BF"/>
      <w:lang w:val="es-PY"/>
    </w:rPr>
  </w:style>
  <w:style w:type="paragraph" w:styleId="Prrafodelista">
    <w:name w:val="List Paragraph"/>
    <w:basedOn w:val="Normal"/>
    <w:uiPriority w:val="34"/>
    <w:qFormat/>
    <w:rsid w:val="003364D4"/>
    <w:pPr>
      <w:ind w:left="720"/>
      <w:contextualSpacing/>
    </w:pPr>
  </w:style>
  <w:style w:type="character" w:styleId="nfasisintenso">
    <w:name w:val="Intense Emphasis"/>
    <w:basedOn w:val="Fuentedeprrafopredeter"/>
    <w:uiPriority w:val="21"/>
    <w:qFormat/>
    <w:rsid w:val="003364D4"/>
    <w:rPr>
      <w:i/>
      <w:iCs/>
      <w:color w:val="0F4761" w:themeColor="accent1" w:themeShade="BF"/>
    </w:rPr>
  </w:style>
  <w:style w:type="paragraph" w:styleId="Citadestacada">
    <w:name w:val="Intense Quote"/>
    <w:basedOn w:val="Normal"/>
    <w:next w:val="Normal"/>
    <w:link w:val="CitadestacadaCar"/>
    <w:uiPriority w:val="30"/>
    <w:qFormat/>
    <w:rsid w:val="00336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64D4"/>
    <w:rPr>
      <w:i/>
      <w:iCs/>
      <w:color w:val="0F4761" w:themeColor="accent1" w:themeShade="BF"/>
      <w:lang w:val="es-PY"/>
    </w:rPr>
  </w:style>
  <w:style w:type="character" w:styleId="Referenciaintensa">
    <w:name w:val="Intense Reference"/>
    <w:basedOn w:val="Fuentedeprrafopredeter"/>
    <w:uiPriority w:val="32"/>
    <w:qFormat/>
    <w:rsid w:val="003364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70601">
      <w:bodyDiv w:val="1"/>
      <w:marLeft w:val="0"/>
      <w:marRight w:val="0"/>
      <w:marTop w:val="0"/>
      <w:marBottom w:val="0"/>
      <w:divBdr>
        <w:top w:val="none" w:sz="0" w:space="0" w:color="auto"/>
        <w:left w:val="none" w:sz="0" w:space="0" w:color="auto"/>
        <w:bottom w:val="none" w:sz="0" w:space="0" w:color="auto"/>
        <w:right w:val="none" w:sz="0" w:space="0" w:color="auto"/>
      </w:divBdr>
    </w:div>
    <w:div w:id="434978060">
      <w:bodyDiv w:val="1"/>
      <w:marLeft w:val="0"/>
      <w:marRight w:val="0"/>
      <w:marTop w:val="0"/>
      <w:marBottom w:val="0"/>
      <w:divBdr>
        <w:top w:val="none" w:sz="0" w:space="0" w:color="auto"/>
        <w:left w:val="none" w:sz="0" w:space="0" w:color="auto"/>
        <w:bottom w:val="none" w:sz="0" w:space="0" w:color="auto"/>
        <w:right w:val="none" w:sz="0" w:space="0" w:color="auto"/>
      </w:divBdr>
    </w:div>
    <w:div w:id="1523981996">
      <w:bodyDiv w:val="1"/>
      <w:marLeft w:val="0"/>
      <w:marRight w:val="0"/>
      <w:marTop w:val="0"/>
      <w:marBottom w:val="0"/>
      <w:divBdr>
        <w:top w:val="none" w:sz="0" w:space="0" w:color="auto"/>
        <w:left w:val="none" w:sz="0" w:space="0" w:color="auto"/>
        <w:bottom w:val="none" w:sz="0" w:space="0" w:color="auto"/>
        <w:right w:val="none" w:sz="0" w:space="0" w:color="auto"/>
      </w:divBdr>
    </w:div>
    <w:div w:id="1674644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447</Words>
  <Characters>2459</Characters>
  <Application>Microsoft Office Word</Application>
  <DocSecurity>0</DocSecurity>
  <Lines>20</Lines>
  <Paragraphs>5</Paragraphs>
  <ScaleCrop>false</ScaleCrop>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Wally</dc:creator>
  <cp:keywords/>
  <dc:description/>
  <cp:lastModifiedBy>Nelson Wally</cp:lastModifiedBy>
  <cp:revision>1</cp:revision>
  <dcterms:created xsi:type="dcterms:W3CDTF">2026-09-09T16:15:00Z</dcterms:created>
  <dcterms:modified xsi:type="dcterms:W3CDTF">2026-09-09T16:22:00Z</dcterms:modified>
</cp:coreProperties>
</file>