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DD3FF" w14:textId="77777777" w:rsidR="00771F4F" w:rsidRPr="00771F4F" w:rsidRDefault="00771F4F" w:rsidP="00771F4F">
      <w:pPr>
        <w:rPr>
          <w:b/>
          <w:bCs/>
        </w:rPr>
      </w:pPr>
      <w:r w:rsidRPr="00771F4F">
        <w:rPr>
          <w:b/>
          <w:bCs/>
        </w:rPr>
        <w:t>Resumen de la noticia</w:t>
      </w:r>
    </w:p>
    <w:p w14:paraId="047AB95A" w14:textId="77777777" w:rsidR="00771F4F" w:rsidRPr="00771F4F" w:rsidRDefault="00771F4F" w:rsidP="00771F4F">
      <w:r w:rsidRPr="00771F4F">
        <w:t xml:space="preserve">La economía paraguaya cerró el primer semestre del año con números bastante optimistas. Según el </w:t>
      </w:r>
      <w:r w:rsidRPr="00771F4F">
        <w:rPr>
          <w:b/>
          <w:bCs/>
        </w:rPr>
        <w:t>Indicador Mensual de la Actividad Económica (IMAEP)</w:t>
      </w:r>
      <w:r w:rsidRPr="00771F4F">
        <w:t xml:space="preserve"> publicado por el Banco Central del Paraguay (BCP), la actividad económica registró una </w:t>
      </w:r>
      <w:r w:rsidRPr="00771F4F">
        <w:rPr>
          <w:b/>
          <w:bCs/>
        </w:rPr>
        <w:t>expansión del 5,6%</w:t>
      </w:r>
      <w:r w:rsidRPr="00771F4F">
        <w:t xml:space="preserve"> tanto en la variación interanual del mes de junio como en el acumulado total de los primeros seis meses.</w:t>
      </w:r>
    </w:p>
    <w:p w14:paraId="732571C2" w14:textId="77777777" w:rsidR="00771F4F" w:rsidRPr="00771F4F" w:rsidRDefault="00771F4F" w:rsidP="00771F4F">
      <w:r w:rsidRPr="00771F4F">
        <w:rPr>
          <w:b/>
          <w:bCs/>
        </w:rPr>
        <w:t>¿Qué sectores impulsaron este motor?</w:t>
      </w:r>
    </w:p>
    <w:p w14:paraId="7E8A04ED" w14:textId="77777777" w:rsidR="00771F4F" w:rsidRPr="00771F4F" w:rsidRDefault="00771F4F" w:rsidP="00771F4F">
      <w:pPr>
        <w:numPr>
          <w:ilvl w:val="0"/>
          <w:numId w:val="1"/>
        </w:numPr>
      </w:pPr>
      <w:r w:rsidRPr="00771F4F">
        <w:rPr>
          <w:b/>
          <w:bCs/>
        </w:rPr>
        <w:t>Sector Primario (+9,8% acumulado):</w:t>
      </w:r>
      <w:r w:rsidRPr="00771F4F">
        <w:t xml:space="preserve"> Liderado por un fuerte incremento en la producción agrícola (soja, caña de azúcar, mandioca, poroto, girasol y tabaco), aunque tuvo frenos menores por caídas en maíz, algodón, sésamo y yerba mate. La ganadería aportó en aves, cerdos y leche, a pesar de una baja en el faenamiento vacuno.</w:t>
      </w:r>
    </w:p>
    <w:p w14:paraId="0FEBF635" w14:textId="77777777" w:rsidR="00771F4F" w:rsidRPr="00771F4F" w:rsidRDefault="00771F4F" w:rsidP="00771F4F">
      <w:pPr>
        <w:numPr>
          <w:ilvl w:val="0"/>
          <w:numId w:val="1"/>
        </w:numPr>
      </w:pPr>
      <w:r w:rsidRPr="00771F4F">
        <w:rPr>
          <w:b/>
          <w:bCs/>
        </w:rPr>
        <w:t>Sector Secundario (+4,7% acumulado):</w:t>
      </w:r>
      <w:r w:rsidRPr="00771F4F">
        <w:t xml:space="preserve"> Destacó la mayor generación y distribución de energía eléctrica, servicios de agua y un repunte de la </w:t>
      </w:r>
      <w:r w:rsidRPr="00771F4F">
        <w:rPr>
          <w:b/>
          <w:bCs/>
        </w:rPr>
        <w:t>construcción</w:t>
      </w:r>
      <w:r w:rsidRPr="00771F4F">
        <w:t>, impulsado sobre todo por obras del sector privado.</w:t>
      </w:r>
    </w:p>
    <w:p w14:paraId="6A50F757" w14:textId="77777777" w:rsidR="00771F4F" w:rsidRPr="00771F4F" w:rsidRDefault="00771F4F" w:rsidP="00771F4F">
      <w:pPr>
        <w:numPr>
          <w:ilvl w:val="0"/>
          <w:numId w:val="1"/>
        </w:numPr>
      </w:pPr>
      <w:r w:rsidRPr="00771F4F">
        <w:rPr>
          <w:b/>
          <w:bCs/>
        </w:rPr>
        <w:t>Manufacturas (+3,1% acumulado):</w:t>
      </w:r>
      <w:r w:rsidRPr="00771F4F">
        <w:t xml:space="preserve"> Tuvieron un rendimiento moderado (+2,8% en junio), impulsado por aceites, lácteos, bebidas, químicos y maquinarias, aunque contrarrestado por caídas en carne, textiles y calzados.</w:t>
      </w:r>
    </w:p>
    <w:p w14:paraId="3F2DA543" w14:textId="77777777" w:rsidR="00771F4F" w:rsidRPr="00771F4F" w:rsidRDefault="00771F4F" w:rsidP="00771F4F">
      <w:pPr>
        <w:numPr>
          <w:ilvl w:val="0"/>
          <w:numId w:val="1"/>
        </w:numPr>
      </w:pPr>
      <w:r w:rsidRPr="00771F4F">
        <w:rPr>
          <w:b/>
          <w:bCs/>
        </w:rPr>
        <w:t>Servicios (+5,1% acumulado):</w:t>
      </w:r>
      <w:r w:rsidRPr="00771F4F">
        <w:t xml:space="preserve"> Tuvo un comportamiento sólido (+4,9% interanual en junio), traccionado por la intermediación financiera, el comercio, transportes, restaurantes, hoteles y telecomunicaciones.</w:t>
      </w:r>
    </w:p>
    <w:p w14:paraId="5529E151" w14:textId="77777777" w:rsidR="00771F4F" w:rsidRPr="00771F4F" w:rsidRDefault="00771F4F" w:rsidP="00771F4F">
      <w:r w:rsidRPr="00771F4F">
        <w:t xml:space="preserve">Con estos resultados, la proyección oficial del PIB para el cierre del año se mantiene firme en un </w:t>
      </w:r>
      <w:r w:rsidRPr="00771F4F">
        <w:rPr>
          <w:b/>
          <w:bCs/>
        </w:rPr>
        <w:t>4,5%</w:t>
      </w:r>
      <w:r w:rsidRPr="00771F4F">
        <w:t>.</w:t>
      </w:r>
    </w:p>
    <w:p w14:paraId="42B5C26F" w14:textId="77777777" w:rsidR="00771F4F" w:rsidRPr="00771F4F" w:rsidRDefault="00771F4F" w:rsidP="00771F4F">
      <w:pPr>
        <w:rPr>
          <w:b/>
          <w:bCs/>
        </w:rPr>
      </w:pPr>
      <w:r w:rsidRPr="00771F4F">
        <w:rPr>
          <w:b/>
          <w:bCs/>
        </w:rPr>
        <w:t>2. Términos económicos clave</w:t>
      </w:r>
    </w:p>
    <w:p w14:paraId="51F0E647" w14:textId="77777777" w:rsidR="00771F4F" w:rsidRPr="00771F4F" w:rsidRDefault="00771F4F" w:rsidP="00771F4F">
      <w:pPr>
        <w:numPr>
          <w:ilvl w:val="0"/>
          <w:numId w:val="2"/>
        </w:numPr>
      </w:pPr>
      <w:r w:rsidRPr="00771F4F">
        <w:rPr>
          <w:b/>
          <w:bCs/>
        </w:rPr>
        <w:t>IMAEP (Indicador Mensual de la Actividad Económica del Paraguay):</w:t>
      </w:r>
      <w:r w:rsidRPr="00771F4F">
        <w:t xml:space="preserve"> Es un termómetro de corto plazo que mide cómo se mueve la producción de los principales sectores del país mes a mes. No abarca el 100% de la economía como el PIB, pero te da la foto del momento.</w:t>
      </w:r>
    </w:p>
    <w:p w14:paraId="21BF1659" w14:textId="77777777" w:rsidR="00771F4F" w:rsidRPr="00771F4F" w:rsidRDefault="00771F4F" w:rsidP="00771F4F">
      <w:pPr>
        <w:numPr>
          <w:ilvl w:val="0"/>
          <w:numId w:val="2"/>
        </w:numPr>
      </w:pPr>
      <w:r w:rsidRPr="00771F4F">
        <w:rPr>
          <w:b/>
          <w:bCs/>
        </w:rPr>
        <w:t>Variación Interanual:</w:t>
      </w:r>
      <w:r w:rsidRPr="00771F4F">
        <w:t xml:space="preserve"> Es la comparación de una variable en un mes específico con respecto al mismo </w:t>
      </w:r>
      <w:proofErr w:type="gramStart"/>
      <w:r w:rsidRPr="00771F4F">
        <w:t>mes</w:t>
      </w:r>
      <w:proofErr w:type="gramEnd"/>
      <w:r w:rsidRPr="00771F4F">
        <w:t xml:space="preserve"> pero del año anterior (por ejemplo, junio de este año versus junio del año pasado). Sirve para eliminar el "ruido" de la estacionalidad.</w:t>
      </w:r>
    </w:p>
    <w:p w14:paraId="3AC92508" w14:textId="77777777" w:rsidR="00771F4F" w:rsidRPr="00771F4F" w:rsidRDefault="00771F4F" w:rsidP="00771F4F">
      <w:pPr>
        <w:numPr>
          <w:ilvl w:val="0"/>
          <w:numId w:val="2"/>
        </w:numPr>
      </w:pPr>
      <w:r w:rsidRPr="00771F4F">
        <w:rPr>
          <w:b/>
          <w:bCs/>
        </w:rPr>
        <w:lastRenderedPageBreak/>
        <w:t>PIB (Producto Interno Bruto):</w:t>
      </w:r>
      <w:r w:rsidRPr="00771F4F">
        <w:t xml:space="preserve"> Es la suma de todo el valor monetario de los bienes y servicios finales que produce el país en un período (usualmente un año). Es básicamente el tamaño del "pastel" económico.</w:t>
      </w:r>
    </w:p>
    <w:p w14:paraId="519E6F6F" w14:textId="77777777" w:rsidR="00771F4F" w:rsidRPr="00771F4F" w:rsidRDefault="00771F4F" w:rsidP="00771F4F">
      <w:pPr>
        <w:numPr>
          <w:ilvl w:val="0"/>
          <w:numId w:val="2"/>
        </w:numPr>
      </w:pPr>
      <w:r w:rsidRPr="00771F4F">
        <w:rPr>
          <w:b/>
          <w:bCs/>
        </w:rPr>
        <w:t>Sector Primario, Secundario y Terciario (Servicios):</w:t>
      </w:r>
    </w:p>
    <w:p w14:paraId="4625D2C2" w14:textId="77777777" w:rsidR="00771F4F" w:rsidRPr="00771F4F" w:rsidRDefault="00771F4F" w:rsidP="00771F4F">
      <w:pPr>
        <w:numPr>
          <w:ilvl w:val="1"/>
          <w:numId w:val="2"/>
        </w:numPr>
      </w:pPr>
      <w:r w:rsidRPr="00771F4F">
        <w:rPr>
          <w:i/>
          <w:iCs/>
        </w:rPr>
        <w:t>Primario:</w:t>
      </w:r>
      <w:r w:rsidRPr="00771F4F">
        <w:t xml:space="preserve"> Extracción y producción directa de la naturaleza (agronomía, ganadería).</w:t>
      </w:r>
    </w:p>
    <w:p w14:paraId="341349B9" w14:textId="77777777" w:rsidR="00771F4F" w:rsidRPr="00771F4F" w:rsidRDefault="00771F4F" w:rsidP="00771F4F">
      <w:pPr>
        <w:numPr>
          <w:ilvl w:val="1"/>
          <w:numId w:val="2"/>
        </w:numPr>
      </w:pPr>
      <w:r w:rsidRPr="00771F4F">
        <w:rPr>
          <w:i/>
          <w:iCs/>
        </w:rPr>
        <w:t>Secundario:</w:t>
      </w:r>
      <w:r w:rsidRPr="00771F4F">
        <w:t xml:space="preserve"> Transformación industrial y física (manufactura, energía, construcción).</w:t>
      </w:r>
    </w:p>
    <w:p w14:paraId="6300119A" w14:textId="77777777" w:rsidR="00771F4F" w:rsidRPr="00771F4F" w:rsidRDefault="00771F4F" w:rsidP="00771F4F">
      <w:pPr>
        <w:numPr>
          <w:ilvl w:val="1"/>
          <w:numId w:val="2"/>
        </w:numPr>
      </w:pPr>
      <w:r w:rsidRPr="00771F4F">
        <w:rPr>
          <w:i/>
          <w:iCs/>
        </w:rPr>
        <w:t>Terciario (Servicios):</w:t>
      </w:r>
      <w:r w:rsidRPr="00771F4F">
        <w:t xml:space="preserve"> Intangibles que mueven la plata (bancos, comercio, transporte, turismo, tecnología).</w:t>
      </w:r>
    </w:p>
    <w:p w14:paraId="14B02128" w14:textId="77777777" w:rsidR="00771F4F" w:rsidRPr="00771F4F" w:rsidRDefault="00771F4F" w:rsidP="00771F4F">
      <w:pPr>
        <w:rPr>
          <w:b/>
          <w:bCs/>
        </w:rPr>
      </w:pPr>
      <w:r w:rsidRPr="00771F4F">
        <w:rPr>
          <w:b/>
          <w:bCs/>
        </w:rPr>
        <w:t>3. Conclusión</w:t>
      </w:r>
    </w:p>
    <w:p w14:paraId="43F4B7B3" w14:textId="77777777" w:rsidR="00771F4F" w:rsidRPr="00771F4F" w:rsidRDefault="00771F4F" w:rsidP="00771F4F">
      <w:r w:rsidRPr="00771F4F">
        <w:t>El 5,6% del primer semestre demuestra que la economía no está paralizada; al contrario, trae un impulso fuerte empujado por el agro y la energía, pero con el respaldo clave de los servicios y la inversión privada en construcción. Sin embargo, hay un "desacople" interno: mientras ciertos sectores agroindustriales y financieros vuelan, la manufactura tradicional (como la textil o la cárnica) anda trastabillando.</w:t>
      </w:r>
    </w:p>
    <w:p w14:paraId="1E382266" w14:textId="77777777" w:rsidR="00771F4F" w:rsidRPr="00771F4F" w:rsidRDefault="00771F4F" w:rsidP="00771F4F">
      <w:pPr>
        <w:rPr>
          <w:b/>
          <w:bCs/>
        </w:rPr>
      </w:pPr>
      <w:r w:rsidRPr="00771F4F">
        <w:rPr>
          <w:b/>
          <w:bCs/>
        </w:rPr>
        <w:t>4. Recomendación</w:t>
      </w:r>
    </w:p>
    <w:p w14:paraId="6A8C6AC2" w14:textId="77777777" w:rsidR="00771F4F" w:rsidRPr="00771F4F" w:rsidRDefault="00771F4F" w:rsidP="00771F4F">
      <w:pPr>
        <w:numPr>
          <w:ilvl w:val="0"/>
          <w:numId w:val="3"/>
        </w:numPr>
      </w:pPr>
      <w:r w:rsidRPr="00771F4F">
        <w:rPr>
          <w:b/>
          <w:bCs/>
        </w:rPr>
        <w:t>Para emprendedores y empresas:</w:t>
      </w:r>
      <w:r w:rsidRPr="00771F4F">
        <w:t xml:space="preserve"> La fuerza en servicios y la construcción privada indican que la gente sigue consumiendo e invirtiendo en infraestructura. Es momento de aprovechar la demanda en rubros comerciales, logística y tecnología financiera, pero hay que tener cautela en la industria manufacturera ligada a consumo tradicional.</w:t>
      </w:r>
    </w:p>
    <w:p w14:paraId="27E88E29" w14:textId="77777777" w:rsidR="00771F4F" w:rsidRPr="00771F4F" w:rsidRDefault="00771F4F" w:rsidP="00771F4F">
      <w:pPr>
        <w:numPr>
          <w:ilvl w:val="0"/>
          <w:numId w:val="3"/>
        </w:numPr>
      </w:pPr>
      <w:r w:rsidRPr="00771F4F">
        <w:rPr>
          <w:b/>
          <w:bCs/>
        </w:rPr>
        <w:t>Para la política pública:</w:t>
      </w:r>
      <w:r w:rsidRPr="00771F4F">
        <w:t xml:space="preserve"> No hay que dormirse en los laureles del agro y las binacionales. Para que este 5,6% se sienta en el bolsillo de la calle de forma sostenible, el foco del Gobierno debe centrarse en reactivar las manufacturas rezagadas y canalizar mayor inversión en obras públicas que complementen el esfuerzo del sector privado.</w:t>
      </w:r>
    </w:p>
    <w:p w14:paraId="1FA29423" w14:textId="77777777" w:rsidR="003E5F8B" w:rsidRDefault="003E5F8B"/>
    <w:sectPr w:rsidR="003E5F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90CF2"/>
    <w:multiLevelType w:val="multilevel"/>
    <w:tmpl w:val="BE8A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33390"/>
    <w:multiLevelType w:val="multilevel"/>
    <w:tmpl w:val="C6FE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32F70"/>
    <w:multiLevelType w:val="multilevel"/>
    <w:tmpl w:val="0CA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34209">
    <w:abstractNumId w:val="2"/>
  </w:num>
  <w:num w:numId="2" w16cid:durableId="335769084">
    <w:abstractNumId w:val="0"/>
  </w:num>
  <w:num w:numId="3" w16cid:durableId="1498883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4F"/>
    <w:rsid w:val="00047405"/>
    <w:rsid w:val="00365A26"/>
    <w:rsid w:val="003E5F8B"/>
    <w:rsid w:val="0077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9556"/>
  <w15:chartTrackingRefBased/>
  <w15:docId w15:val="{B4CFEA89-80B7-4A8E-9A21-A80CDDEAB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1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1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1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1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1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1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1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1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1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1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F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1F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1F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1F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1F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1F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1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1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1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1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1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1F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1F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1F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1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1F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1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8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Wally</dc:creator>
  <cp:keywords/>
  <dc:description/>
  <cp:lastModifiedBy>Nelson Wally</cp:lastModifiedBy>
  <cp:revision>1</cp:revision>
  <dcterms:created xsi:type="dcterms:W3CDTF">2026-08-12T12:56:00Z</dcterms:created>
  <dcterms:modified xsi:type="dcterms:W3CDTF">2026-08-12T12:57:00Z</dcterms:modified>
</cp:coreProperties>
</file>