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b w:val="1"/>
          <w:bCs w:val="1"/>
          <w:color w:val="4a777a"/>
          <w:sz w:val="19"/>
          <w:szCs w:val="19"/>
          <w:rtl w:val="0"/>
        </w:rPr>
        <w:t xml:space="preserve">ANÁLISIS ECONÓMICO Y DE RELACIONES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rPr>
          <w:b w:val="1"/>
          <w:bCs w:val="1"/>
          <w:color w:val="1b365d"/>
          <w:sz w:val="36"/>
          <w:szCs w:val="36"/>
        </w:rPr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¿Familias de Paraguay tienden a endeudarse más? Gobierno propone educación financiera</w:t>
      </w:r>
    </w:p>
    <w:p w:rsidR="00000000" w:rsidDel="00000000" w:rsidP="00000000" w:rsidRDefault="00000000" w:rsidRPr="00000000" w14:paraId="00000003">
      <w:pPr>
        <w:spacing w:after="320" w:before="0" w:lineRule="auto"/>
        <w:rPr/>
      </w:pPr>
      <w:r w:rsidDel="00000000" w:rsidR="00000000" w:rsidRPr="00000000">
        <w:rPr>
          <w:i w:val="1"/>
          <w:iCs w:val="1"/>
          <w:color w:val="646e78"/>
          <w:sz w:val="20"/>
          <w:szCs w:val="20"/>
          <w:rtl w:val="0"/>
        </w:rPr>
        <w:t xml:space="preserve">Fuente: ABC Color: https://www.abc.com.py/economia/2026/08/19/familias-tienden-a-endeudarse-mas-gobierno-propone-educacion-financiera/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bottom w:color="4a777a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1. Resumen Ejecutivo de la Noticia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El Gobierno de Paraguay, a través del Ministerio de Economía y Finanzas (MEF), presentó la nueva </w:t>
      </w:r>
      <w:r w:rsidDel="00000000" w:rsidR="00000000" w:rsidRPr="00000000">
        <w:rPr>
          <w:b w:val="1"/>
          <w:bCs w:val="1"/>
          <w:rtl w:val="0"/>
        </w:rPr>
        <w:t xml:space="preserve">Estrategia Nacional de Inclusión Financiera (ENIF) para el periodo 2026–2031</w:t>
      </w:r>
      <w:r w:rsidDel="00000000" w:rsidR="00000000" w:rsidRPr="00000000">
        <w:rPr>
          <w:rtl w:val="0"/>
        </w:rPr>
        <w:t xml:space="preserve">. La iniciativa surge ante un diagnóstico crítico: si bien la bancarización de la población adulta creció del 20% (en 2012) a cerca del 62% en la actualidad, esta mayor apertura de cuentas y billeteras digitales no redundó en una mejora de la salud económica de los hogares, sino en un pronunciado </w:t>
      </w:r>
      <w:r w:rsidDel="00000000" w:rsidR="00000000" w:rsidRPr="00000000">
        <w:rPr>
          <w:b w:val="1"/>
          <w:bCs w:val="1"/>
          <w:rtl w:val="0"/>
        </w:rPr>
        <w:t xml:space="preserve">sobreendeudamiento por créditos de consumo y un bajo nivel de ahorro.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Giro Conceptual: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La primera etapa (iniciada en 2014) priorizó el acceso cuantitativo; esta nueva fase enfatiza la gestión responsable del dinero, la educación financiera y la protección al consumidor frente a ofertas crediticias perjudiciales.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Grupos Prioritarios: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Se enfoca en tres segmentos vulnerables: familias de bajos ingresos, adultos mayores y mipymes.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Problemática de las Mipymes: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Ante la falta de instrumentos ágiles adecuados, muchos emprendedores financian actividades productivas con créditos a tasas de consumo, volviendo insostenibles sus negocios a mediano y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Foco en el Ahorro y Planificación: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Transformar el uso puramente transaccional del sistema bancario en un mecanismo de ahorro y previsión ante contingencias mediante presupuestos familiares realistas.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pBdr>
          <w:bottom w:color="4a777a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2. Términos Económicos y Definiciones Clave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</w:tcPr>
          <w:p w:rsidR="00000000" w:rsidDel="00000000" w:rsidP="00000000" w:rsidRDefault="00000000" w:rsidRPr="00000000" w14:paraId="0000000B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 Económico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</w:tcPr>
          <w:p w:rsidR="00000000" w:rsidDel="00000000" w:rsidP="00000000" w:rsidRDefault="00000000" w:rsidRPr="00000000" w14:paraId="0000000C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 y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spacing w:after="80" w:before="8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Bancarización / Inclusión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spacing w:after="80" w:before="8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Proceso mediante el cual la población y las empresas acceden y utilizan servicios financieros formales (cuentas bancarias, billeteras electrónicas, seguros y créditos) de manera asequible, oportuna y regulada.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F">
            <w:pPr>
              <w:spacing w:after="80" w:before="8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Crédito de 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10">
            <w:pPr>
              <w:spacing w:after="80" w:before="8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Préstamo a corto o mediano plazo destinado a la adquisición de bienes o servicios no productivos. Suele conllevar tasas de interés más altas debido al mayor perfil de riesgo de impago.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spacing w:after="80" w:before="8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Sobreendeudamiento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80" w:before="8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Condición económica en la que los compromisos de deuda asumidos superan la capacidad real de pago del individuo o unidad familiar, comprometiendo sus necesidades de subsistencia básica.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13">
            <w:pPr>
              <w:spacing w:after="80" w:before="8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Transaccionalidad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14">
            <w:pPr>
              <w:spacing w:after="80" w:before="8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Uso de los servicios bancarios exclusivamente como pasarela inmediata de cobro y pago (por ejemplo, cobro de haberes y pago de servicios básicos), sin retención de saldo ni generación de instrumentos de ahorro o inversión.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80" w:before="8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Mipymes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80" w:before="8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Micro, pequeñas y medianas empresas. Constituyen la base del tejido productivo y laboral, pero frecuentemente afrontan restricciones de liquidez y barreras para acceder a crédito productivo adecuado.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1"/>
        <w:pBdr>
          <w:bottom w:color="4a777a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3. Recomendación Estratégica desde las Relaciones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Desde la perspectiva de la diplomacia económica, la cooperación para el desarrollo y la inserción internacional, el fortalecimiento de la educación financiera no es solo un asunto doméstico, sino un pilar de estabilidad y competitividad global: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Cooperación Multilateral y Transferencia de Buenas Prácticas: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Canalizar convenios de asistencia técnica con organismos internacionales (Banco Interamericano de Desarrollo - BID, Banco Mundial, OCDE y CAF) para incorporar metodologías probadas en pedagogía financiera digital, protección al usuario y regulación del sector Fintech.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Armonización y Seguridad en el Mercosur: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Promover protocolos de defensa del consumidor financiero y ciberseguridad a nivel regional, facilitando una mayor trazabilidad y menores costos en remesas y comercio transfronterizo.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Estabilidad Macroeconómica y Calificación Soberana (Riesgo País):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La solvencia del consumo interno y la mitigación de la morosidad familiar son indicadores monitoreados por calificadoras de riesgo crediticio e inversionistas extranjeros directos (IED), impactando en el costo del financiamiento soberano del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1b365d" w:space="10" w:sz="24" w:val="single"/>
        </w:pBdr>
        <w:shd w:fill="f0f4f8" w:val="clear"/>
        <w:spacing w:after="120" w:before="240" w:lineRule="auto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Conclusión Diplomática: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Una política de inclusión financiera exitosa consolida la resiliencia socioeconómica nacional, reduciendo la vulnerabilidad ante shocks externos y posicionando al país como un mercado confiable y predecible para la atracción de inversiones globales.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