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1C6E7" w14:textId="77777777" w:rsidR="0036367C" w:rsidRPr="00F50AE1" w:rsidRDefault="00000000" w:rsidP="00F50AE1">
      <w:pPr>
        <w:spacing w:line="276" w:lineRule="auto"/>
        <w:rPr>
          <w:rFonts w:cs="Arial"/>
          <w:sz w:val="22"/>
          <w:lang w:val="es-ES"/>
        </w:rPr>
      </w:pPr>
      <w:r w:rsidRPr="00F50AE1">
        <w:rPr>
          <w:rFonts w:cs="Arial"/>
          <w:b/>
          <w:sz w:val="22"/>
          <w:lang w:val="es-ES"/>
        </w:rPr>
        <w:t>9. MÓDULO DE INTEROPERABILIDAD</w:t>
      </w:r>
    </w:p>
    <w:p w14:paraId="6888339B" w14:textId="77777777" w:rsidR="009D2E7A" w:rsidRDefault="009D2E7A" w:rsidP="00F50AE1">
      <w:pPr>
        <w:spacing w:line="276" w:lineRule="auto"/>
        <w:jc w:val="both"/>
        <w:rPr>
          <w:rFonts w:cs="Arial"/>
          <w:sz w:val="22"/>
          <w:lang w:val="es-ES"/>
        </w:rPr>
      </w:pPr>
    </w:p>
    <w:p w14:paraId="171E556F" w14:textId="1873895F" w:rsidR="00487AA4" w:rsidRPr="00F26DEA" w:rsidRDefault="00487AA4" w:rsidP="00487AA4">
      <w:pPr>
        <w:spacing w:line="276" w:lineRule="auto"/>
        <w:jc w:val="both"/>
        <w:rPr>
          <w:rFonts w:cs="Arial"/>
          <w:color w:val="0070C0"/>
          <w:sz w:val="22"/>
          <w:lang w:val="es-PE"/>
        </w:rPr>
      </w:pPr>
      <w:r w:rsidRPr="00F26DEA">
        <w:rPr>
          <w:rFonts w:cs="Arial"/>
          <w:color w:val="0070C0"/>
          <w:sz w:val="22"/>
          <w:lang w:val="es-PE"/>
        </w:rPr>
        <w:t xml:space="preserve">El </w:t>
      </w:r>
      <w:r w:rsidRPr="00F26DEA">
        <w:rPr>
          <w:rFonts w:cs="Arial"/>
          <w:b/>
          <w:bCs/>
          <w:color w:val="0070C0"/>
          <w:sz w:val="22"/>
          <w:lang w:val="es-PE"/>
        </w:rPr>
        <w:t>Módulo de Interoperabilidad</w:t>
      </w:r>
      <w:r w:rsidRPr="00F26DEA">
        <w:rPr>
          <w:rFonts w:cs="Arial"/>
          <w:color w:val="0070C0"/>
          <w:sz w:val="22"/>
          <w:lang w:val="es-PE"/>
        </w:rPr>
        <w:t xml:space="preserve"> permite conectar la «Plataforma Digital de Gestión de Predios» con los sistemas internos del MTC y con los sistemas de las entidades públicas externas.</w:t>
      </w:r>
    </w:p>
    <w:p w14:paraId="14F29D9D" w14:textId="77777777" w:rsidR="00487AA4" w:rsidRPr="00F26DEA" w:rsidRDefault="00487AA4" w:rsidP="00487AA4">
      <w:pPr>
        <w:spacing w:line="276" w:lineRule="auto"/>
        <w:jc w:val="both"/>
        <w:rPr>
          <w:rFonts w:cs="Arial"/>
          <w:color w:val="0070C0"/>
          <w:sz w:val="22"/>
          <w:lang w:val="es-PE"/>
        </w:rPr>
      </w:pPr>
    </w:p>
    <w:p w14:paraId="163AAF95" w14:textId="49D971AC" w:rsidR="00487AA4" w:rsidRPr="00396C21" w:rsidRDefault="00487AA4" w:rsidP="009D2E7A">
      <w:pPr>
        <w:spacing w:line="276" w:lineRule="auto"/>
        <w:jc w:val="both"/>
        <w:rPr>
          <w:rFonts w:cs="Arial"/>
          <w:color w:val="0070C0"/>
          <w:sz w:val="22"/>
          <w:lang w:val="es-PE"/>
        </w:rPr>
      </w:pPr>
      <w:r w:rsidRPr="00F26DEA">
        <w:rPr>
          <w:rFonts w:cs="Arial"/>
          <w:color w:val="0070C0"/>
          <w:sz w:val="22"/>
          <w:lang w:val="es-PE"/>
        </w:rPr>
        <w:t xml:space="preserve">Su finalidad es </w:t>
      </w:r>
      <w:r w:rsidRPr="00F26DEA">
        <w:rPr>
          <w:rFonts w:cs="Arial"/>
          <w:b/>
          <w:bCs/>
          <w:color w:val="0070C0"/>
          <w:sz w:val="22"/>
          <w:lang w:val="es-PE"/>
        </w:rPr>
        <w:t>consultar, validar, contrastar e incorporar información oficial</w:t>
      </w:r>
      <w:r w:rsidRPr="00F26DEA">
        <w:rPr>
          <w:rFonts w:cs="Arial"/>
          <w:color w:val="0070C0"/>
          <w:sz w:val="22"/>
          <w:lang w:val="es-PE"/>
        </w:rPr>
        <w:t xml:space="preserve"> relacionada con el proyecto, el predio</w:t>
      </w:r>
      <w:r w:rsidR="00F04436">
        <w:rPr>
          <w:rFonts w:cs="Arial"/>
          <w:color w:val="0070C0"/>
          <w:sz w:val="22"/>
          <w:lang w:val="es-PE"/>
        </w:rPr>
        <w:t xml:space="preserve">, </w:t>
      </w:r>
      <w:r w:rsidRPr="00F26DEA">
        <w:rPr>
          <w:rFonts w:cs="Arial"/>
          <w:color w:val="0070C0"/>
          <w:sz w:val="22"/>
          <w:lang w:val="es-PE"/>
        </w:rPr>
        <w:t>el sujeto pasivo</w:t>
      </w:r>
      <w:r w:rsidR="00F04436">
        <w:rPr>
          <w:rFonts w:cs="Arial"/>
          <w:color w:val="0070C0"/>
          <w:sz w:val="22"/>
          <w:lang w:val="es-PE"/>
        </w:rPr>
        <w:t xml:space="preserve"> y otros</w:t>
      </w:r>
      <w:r w:rsidRPr="00F26DEA">
        <w:rPr>
          <w:rFonts w:cs="Arial"/>
          <w:color w:val="0070C0"/>
          <w:sz w:val="22"/>
          <w:lang w:val="es-PE"/>
        </w:rPr>
        <w:t>, asegurando que la información técnica y legal sea segura, trazable, auditable y consistente con los procesos de Gestión de Predios</w:t>
      </w:r>
      <w:r w:rsidR="00F04436">
        <w:rPr>
          <w:rFonts w:cs="Arial"/>
          <w:color w:val="0070C0"/>
          <w:sz w:val="22"/>
          <w:lang w:val="es-PE"/>
        </w:rPr>
        <w:t xml:space="preserve">, </w:t>
      </w:r>
      <w:r w:rsidRPr="00F26DEA">
        <w:rPr>
          <w:rFonts w:cs="Arial"/>
          <w:color w:val="0070C0"/>
          <w:sz w:val="22"/>
          <w:lang w:val="es-PE"/>
        </w:rPr>
        <w:t>este módulo reduce consultas manuales, mejora procesos y deja evidencia verificable de cada consulta o validación realizada.</w:t>
      </w:r>
    </w:p>
    <w:p w14:paraId="75064D7D" w14:textId="77777777" w:rsidR="0036367C" w:rsidRPr="00F50AE1" w:rsidRDefault="0036367C" w:rsidP="00C66E90">
      <w:pPr>
        <w:spacing w:line="276" w:lineRule="auto"/>
        <w:jc w:val="both"/>
        <w:rPr>
          <w:rFonts w:cs="Arial"/>
          <w:sz w:val="22"/>
          <w:lang w:val="es-ES"/>
        </w:rPr>
      </w:pPr>
    </w:p>
    <w:p w14:paraId="0DD7AC99" w14:textId="77777777" w:rsidR="0036367C" w:rsidRPr="00F50AE1" w:rsidRDefault="00000000" w:rsidP="00C66E90">
      <w:pPr>
        <w:spacing w:line="276" w:lineRule="auto"/>
        <w:jc w:val="both"/>
        <w:rPr>
          <w:rFonts w:cs="Arial"/>
          <w:sz w:val="22"/>
          <w:lang w:val="es-ES"/>
        </w:rPr>
      </w:pPr>
      <w:r w:rsidRPr="00F50AE1">
        <w:rPr>
          <w:rFonts w:cs="Arial"/>
          <w:b/>
          <w:sz w:val="22"/>
          <w:lang w:val="es-ES"/>
        </w:rPr>
        <w:t>9.1 Rol de la Oficina General de Tecnologías de Información - OGTI del MTC / Middleware institucional</w:t>
      </w:r>
    </w:p>
    <w:p w14:paraId="66E7D2FA" w14:textId="77777777" w:rsidR="0036367C" w:rsidRDefault="0036367C" w:rsidP="003B2880">
      <w:pPr>
        <w:spacing w:line="276" w:lineRule="auto"/>
        <w:jc w:val="both"/>
        <w:rPr>
          <w:rFonts w:cs="Arial"/>
          <w:sz w:val="22"/>
          <w:lang w:val="es-ES"/>
        </w:rPr>
      </w:pPr>
    </w:p>
    <w:p w14:paraId="189D636B" w14:textId="1A862266" w:rsidR="003574B2" w:rsidRPr="006524B2" w:rsidRDefault="003574B2" w:rsidP="003574B2">
      <w:pPr>
        <w:spacing w:line="276" w:lineRule="auto"/>
        <w:jc w:val="both"/>
        <w:rPr>
          <w:rFonts w:cs="Arial"/>
          <w:color w:val="0070C0"/>
          <w:sz w:val="22"/>
          <w:lang w:val="es-PE"/>
        </w:rPr>
      </w:pPr>
      <w:r w:rsidRPr="006524B2">
        <w:rPr>
          <w:rFonts w:cs="Arial"/>
          <w:color w:val="0070C0"/>
          <w:sz w:val="22"/>
          <w:lang w:val="es-PE"/>
        </w:rPr>
        <w:t>La Oficina General de Tecnologías de la Información del MTC, en su calidad de órgano responsable de la gestión tecnológica institucional, tendrá a su cargo la administración, operación y soporte técnico del software middleware</w:t>
      </w:r>
      <w:r w:rsidRPr="006524B2">
        <w:rPr>
          <w:rStyle w:val="Refdenotaalpie"/>
          <w:rFonts w:cs="Arial"/>
          <w:color w:val="0070C0"/>
          <w:sz w:val="22"/>
          <w:lang w:val="es-PE"/>
        </w:rPr>
        <w:footnoteReference w:id="1"/>
      </w:r>
      <w:r w:rsidRPr="006524B2">
        <w:rPr>
          <w:rFonts w:cs="Arial"/>
          <w:color w:val="0070C0"/>
          <w:sz w:val="22"/>
          <w:lang w:val="es-PE"/>
        </w:rPr>
        <w:t>, el cual permitirá la interoperabilidad con entidades externas y la creación de servicios web para obtener información de los sistemas internos del MTC.</w:t>
      </w:r>
    </w:p>
    <w:p w14:paraId="3AC97D7F" w14:textId="77777777" w:rsidR="003574B2" w:rsidRPr="003574B2" w:rsidRDefault="003574B2" w:rsidP="003574B2">
      <w:pPr>
        <w:spacing w:line="276" w:lineRule="auto"/>
        <w:jc w:val="both"/>
        <w:rPr>
          <w:rFonts w:cs="Arial"/>
          <w:sz w:val="22"/>
          <w:lang w:val="es-PE"/>
        </w:rPr>
      </w:pPr>
    </w:p>
    <w:p w14:paraId="68FBC2C8" w14:textId="060CBDC4" w:rsidR="003574B2" w:rsidRDefault="003574B2" w:rsidP="003574B2">
      <w:pPr>
        <w:spacing w:line="276" w:lineRule="auto"/>
        <w:jc w:val="both"/>
        <w:rPr>
          <w:rFonts w:cs="Arial"/>
          <w:sz w:val="22"/>
          <w:lang w:val="es-PE"/>
        </w:rPr>
      </w:pPr>
      <w:r w:rsidRPr="00740FBA">
        <w:rPr>
          <w:rFonts w:cs="Arial"/>
          <w:color w:val="0070C0"/>
          <w:sz w:val="22"/>
          <w:lang w:val="es-PE"/>
        </w:rPr>
        <w:t xml:space="preserve">La OGTI habilitará los mecanismos tecnológicos necesarios para realizar consultas, validaciones e intercambio de información con los sistemas de entidades externas vinculadas a la </w:t>
      </w:r>
      <w:r w:rsidR="00090038" w:rsidRPr="00740FBA">
        <w:rPr>
          <w:rFonts w:cs="Arial"/>
          <w:color w:val="0070C0"/>
          <w:sz w:val="22"/>
          <w:lang w:val="es-PE"/>
        </w:rPr>
        <w:t>Gestión de Predios</w:t>
      </w:r>
      <w:r w:rsidRPr="00740FBA">
        <w:rPr>
          <w:rFonts w:cs="Arial"/>
          <w:color w:val="0070C0"/>
          <w:sz w:val="22"/>
          <w:lang w:val="es-PE"/>
        </w:rPr>
        <w:t>, tales como SUNARP, RENIEC, SUNAT, SBN, COFOPRI, MIDAGRI, Migraciones, municipalidades, gobiernos regionales y otras entidades que resulten necesarias</w:t>
      </w:r>
      <w:r w:rsidRPr="003574B2">
        <w:rPr>
          <w:rFonts w:cs="Arial"/>
          <w:sz w:val="22"/>
          <w:lang w:val="es-PE"/>
        </w:rPr>
        <w:t>.</w:t>
      </w:r>
    </w:p>
    <w:p w14:paraId="5A08B443" w14:textId="77777777" w:rsidR="003574B2" w:rsidRPr="003574B2" w:rsidRDefault="003574B2" w:rsidP="003574B2">
      <w:pPr>
        <w:spacing w:line="276" w:lineRule="auto"/>
        <w:jc w:val="both"/>
        <w:rPr>
          <w:rFonts w:cs="Arial"/>
          <w:sz w:val="22"/>
          <w:lang w:val="es-PE"/>
        </w:rPr>
      </w:pPr>
    </w:p>
    <w:p w14:paraId="0FCB9F57" w14:textId="4AEF6E7E" w:rsidR="003574B2" w:rsidRPr="008D3D28" w:rsidRDefault="003574B2" w:rsidP="003574B2">
      <w:pPr>
        <w:spacing w:line="276" w:lineRule="auto"/>
        <w:jc w:val="both"/>
        <w:rPr>
          <w:rFonts w:cs="Arial"/>
          <w:color w:val="0070C0"/>
          <w:sz w:val="22"/>
          <w:lang w:val="es-PE"/>
        </w:rPr>
      </w:pPr>
      <w:r w:rsidRPr="008D3D28">
        <w:rPr>
          <w:rFonts w:cs="Arial"/>
          <w:color w:val="0070C0"/>
          <w:sz w:val="22"/>
          <w:lang w:val="es-PE"/>
        </w:rPr>
        <w:t xml:space="preserve">Asimismo, la OGTI implementará y gestionará servicios web en los sistemas internos del MTC, como el Sistema de Trámite Documentario - STD y otros sistemas institucionales relevantes, a fin de permitir el intercambio de información con </w:t>
      </w:r>
      <w:r w:rsidR="007478BE" w:rsidRPr="008D3D28">
        <w:rPr>
          <w:rFonts w:cs="Arial"/>
          <w:color w:val="0070C0"/>
          <w:sz w:val="22"/>
          <w:lang w:val="es-PE"/>
        </w:rPr>
        <w:t>la «Plataforma Digital de Gestión de Predios»</w:t>
      </w:r>
      <w:r w:rsidR="00F6232A" w:rsidRPr="008D3D28">
        <w:rPr>
          <w:rFonts w:cs="Arial"/>
          <w:color w:val="0070C0"/>
          <w:sz w:val="22"/>
          <w:lang w:val="es-PE"/>
        </w:rPr>
        <w:t>.</w:t>
      </w:r>
    </w:p>
    <w:p w14:paraId="11382B78" w14:textId="77777777" w:rsidR="007478BE" w:rsidRPr="005C46C3" w:rsidRDefault="007478BE" w:rsidP="003574B2">
      <w:pPr>
        <w:spacing w:line="276" w:lineRule="auto"/>
        <w:jc w:val="both"/>
        <w:rPr>
          <w:rFonts w:cs="Arial"/>
          <w:color w:val="0070C0"/>
          <w:sz w:val="22"/>
          <w:lang w:val="es-PE"/>
        </w:rPr>
      </w:pPr>
    </w:p>
    <w:p w14:paraId="5FED483A" w14:textId="66CAE5F3" w:rsidR="003574B2" w:rsidRPr="005C46C3" w:rsidRDefault="003574B2" w:rsidP="003574B2">
      <w:pPr>
        <w:spacing w:line="276" w:lineRule="auto"/>
        <w:jc w:val="both"/>
        <w:rPr>
          <w:rFonts w:cs="Arial"/>
          <w:color w:val="0070C0"/>
          <w:sz w:val="22"/>
          <w:lang w:val="es-PE"/>
        </w:rPr>
      </w:pPr>
      <w:r w:rsidRPr="005C46C3">
        <w:rPr>
          <w:rFonts w:cs="Arial"/>
          <w:color w:val="0070C0"/>
          <w:sz w:val="22"/>
          <w:lang w:val="es-PE"/>
        </w:rPr>
        <w:t xml:space="preserve">De acuerdo con el ROF, la OGTI del MTC deberá desarrollar y proporcionar la documentación técnica necesaria para realizar las integraciones </w:t>
      </w:r>
      <w:r w:rsidR="008D3D28" w:rsidRPr="005C46C3">
        <w:rPr>
          <w:rFonts w:cs="Arial"/>
          <w:color w:val="0070C0"/>
          <w:sz w:val="22"/>
          <w:lang w:val="es-PE"/>
        </w:rPr>
        <w:t>con la</w:t>
      </w:r>
      <w:r w:rsidR="008D3D28" w:rsidRPr="005C46C3">
        <w:rPr>
          <w:rFonts w:cs="Arial"/>
          <w:color w:val="0070C0"/>
          <w:sz w:val="22"/>
          <w:lang w:val="es-PE"/>
        </w:rPr>
        <w:t xml:space="preserve"> «Plataforma Digital de Gestión de Predios»</w:t>
      </w:r>
      <w:r w:rsidRPr="005C46C3">
        <w:rPr>
          <w:rFonts w:cs="Arial"/>
          <w:color w:val="0070C0"/>
          <w:sz w:val="22"/>
          <w:lang w:val="es-PE"/>
        </w:rPr>
        <w:t>, así como brindar el soporte técnico correspondiente.</w:t>
      </w:r>
    </w:p>
    <w:p w14:paraId="2BB24BC1" w14:textId="77777777" w:rsidR="003574B2" w:rsidRPr="00865504" w:rsidRDefault="003574B2" w:rsidP="00350B8A">
      <w:pPr>
        <w:spacing w:line="276" w:lineRule="auto"/>
        <w:jc w:val="both"/>
        <w:rPr>
          <w:rFonts w:cs="Arial"/>
          <w:sz w:val="22"/>
          <w:lang w:val="es-PE"/>
        </w:rPr>
      </w:pPr>
    </w:p>
    <w:p w14:paraId="6695B6D5" w14:textId="77777777" w:rsidR="0036367C" w:rsidRPr="00F50AE1" w:rsidRDefault="00000000" w:rsidP="00F50AE1">
      <w:pPr>
        <w:spacing w:line="276" w:lineRule="auto"/>
        <w:rPr>
          <w:rFonts w:cs="Arial"/>
          <w:sz w:val="22"/>
          <w:lang w:val="es-ES"/>
        </w:rPr>
      </w:pPr>
      <w:r w:rsidRPr="00F50AE1">
        <w:rPr>
          <w:rFonts w:cs="Arial"/>
          <w:b/>
          <w:sz w:val="22"/>
          <w:lang w:val="es-ES"/>
        </w:rPr>
        <w:t>9.2 Interoperabilidad Interna</w:t>
      </w:r>
    </w:p>
    <w:p w14:paraId="4F8DE46A" w14:textId="77777777" w:rsidR="0036367C" w:rsidRPr="00F50AE1" w:rsidRDefault="0036367C" w:rsidP="00F50AE1">
      <w:pPr>
        <w:spacing w:line="276" w:lineRule="auto"/>
        <w:rPr>
          <w:rFonts w:cs="Arial"/>
          <w:sz w:val="22"/>
          <w:lang w:val="es-ES"/>
        </w:rPr>
      </w:pPr>
    </w:p>
    <w:p w14:paraId="1180845D" w14:textId="77777777" w:rsidR="0036367C" w:rsidRPr="00F50AE1" w:rsidRDefault="00000000" w:rsidP="00F50AE1">
      <w:pPr>
        <w:spacing w:line="276" w:lineRule="auto"/>
        <w:rPr>
          <w:rFonts w:cs="Arial"/>
          <w:sz w:val="22"/>
          <w:lang w:val="es-ES"/>
        </w:rPr>
      </w:pPr>
      <w:r w:rsidRPr="00F50AE1">
        <w:rPr>
          <w:rFonts w:cs="Arial"/>
          <w:b/>
          <w:sz w:val="22"/>
          <w:lang w:val="es-ES"/>
        </w:rPr>
        <w:t>9.2.1 Interoperabilidad con el Sistema de Trámite Documentario - STD</w:t>
      </w:r>
    </w:p>
    <w:p w14:paraId="5B0C24FB" w14:textId="77777777" w:rsidR="001E6A54" w:rsidRPr="00B65846" w:rsidRDefault="001E6A54" w:rsidP="00F50AE1">
      <w:pPr>
        <w:spacing w:line="276" w:lineRule="auto"/>
        <w:jc w:val="both"/>
        <w:rPr>
          <w:rFonts w:cs="Arial"/>
          <w:color w:val="0070C0"/>
          <w:sz w:val="22"/>
          <w:lang w:val="es-ES"/>
        </w:rPr>
      </w:pPr>
    </w:p>
    <w:p w14:paraId="65A8051F" w14:textId="091F871A" w:rsidR="00F04436" w:rsidRPr="00F04436" w:rsidRDefault="00F04436" w:rsidP="00F04436">
      <w:pPr>
        <w:spacing w:line="276" w:lineRule="auto"/>
        <w:jc w:val="both"/>
        <w:rPr>
          <w:rFonts w:cs="Arial"/>
          <w:color w:val="auto"/>
          <w:sz w:val="22"/>
          <w:lang w:val="es-PE"/>
        </w:rPr>
      </w:pPr>
      <w:r w:rsidRPr="00F04436">
        <w:rPr>
          <w:rFonts w:cs="Arial"/>
          <w:color w:val="auto"/>
          <w:sz w:val="22"/>
          <w:lang w:val="es-PE"/>
        </w:rPr>
        <w:t xml:space="preserve">La </w:t>
      </w:r>
      <w:r>
        <w:rPr>
          <w:rFonts w:cs="Arial"/>
          <w:color w:val="auto"/>
          <w:sz w:val="22"/>
          <w:lang w:val="es-PE"/>
        </w:rPr>
        <w:t>interoperabilidad</w:t>
      </w:r>
      <w:r w:rsidRPr="00F04436">
        <w:rPr>
          <w:rFonts w:cs="Arial"/>
          <w:color w:val="auto"/>
          <w:sz w:val="22"/>
          <w:lang w:val="es-PE"/>
        </w:rPr>
        <w:t xml:space="preserve"> con el Sistema de Trámite Documentario - STD permitirá articular la «Plataforma Digital de Gestión de Predios» con el STD institucional, a fin de garantizar la </w:t>
      </w:r>
      <w:r w:rsidRPr="00F04436">
        <w:rPr>
          <w:rFonts w:cs="Arial"/>
          <w:color w:val="auto"/>
          <w:sz w:val="22"/>
          <w:lang w:val="es-PE"/>
        </w:rPr>
        <w:lastRenderedPageBreak/>
        <w:t>trazabilidad administrativa y legal de los documentos vinculados a los procedimientos de Gestión de Predios. Asimismo, consultar</w:t>
      </w:r>
      <w:r>
        <w:rPr>
          <w:rFonts w:cs="Arial"/>
          <w:color w:val="auto"/>
          <w:sz w:val="22"/>
          <w:lang w:val="es-PE"/>
        </w:rPr>
        <w:t xml:space="preserve"> la</w:t>
      </w:r>
      <w:r w:rsidRPr="00F04436">
        <w:rPr>
          <w:rFonts w:cs="Arial"/>
          <w:color w:val="auto"/>
          <w:sz w:val="22"/>
          <w:lang w:val="es-PE"/>
        </w:rPr>
        <w:t xml:space="preserve"> </w:t>
      </w:r>
      <w:r>
        <w:rPr>
          <w:rFonts w:cs="Arial"/>
          <w:color w:val="auto"/>
          <w:sz w:val="22"/>
          <w:lang w:val="es-PE"/>
        </w:rPr>
        <w:t>información de seguimiento</w:t>
      </w:r>
      <w:r w:rsidRPr="00F04436">
        <w:rPr>
          <w:rFonts w:cs="Arial"/>
          <w:color w:val="auto"/>
          <w:sz w:val="22"/>
          <w:lang w:val="es-PE"/>
        </w:rPr>
        <w:t xml:space="preserve"> mediante el número de trámite generado por el STD,</w:t>
      </w:r>
      <w:r w:rsidR="003109C9">
        <w:rPr>
          <w:rFonts w:cs="Arial"/>
          <w:color w:val="auto"/>
          <w:sz w:val="22"/>
          <w:lang w:val="es-PE"/>
        </w:rPr>
        <w:t xml:space="preserve"> </w:t>
      </w:r>
      <w:r w:rsidRPr="00F04436">
        <w:rPr>
          <w:rFonts w:cs="Arial"/>
          <w:color w:val="auto"/>
          <w:sz w:val="22"/>
          <w:lang w:val="es-PE"/>
        </w:rPr>
        <w:t>para su incorporación progresiva al Expediente Predial Digital.</w:t>
      </w:r>
    </w:p>
    <w:p w14:paraId="1A1632FF" w14:textId="77777777" w:rsidR="0036367C" w:rsidRPr="00F50AE1" w:rsidRDefault="0036367C" w:rsidP="00F50AE1">
      <w:pPr>
        <w:spacing w:line="276" w:lineRule="auto"/>
        <w:rPr>
          <w:rFonts w:cs="Arial"/>
          <w:sz w:val="22"/>
          <w:lang w:val="es-ES"/>
        </w:rPr>
      </w:pPr>
    </w:p>
    <w:p w14:paraId="60AF2259" w14:textId="43F7CD5D" w:rsidR="0036367C" w:rsidRDefault="00000000" w:rsidP="00F50AE1">
      <w:pPr>
        <w:spacing w:line="276" w:lineRule="auto"/>
        <w:rPr>
          <w:b/>
          <w:lang w:val="es-ES"/>
        </w:rPr>
      </w:pPr>
      <w:r w:rsidRPr="00F50AE1">
        <w:rPr>
          <w:rFonts w:cs="Arial"/>
          <w:b/>
          <w:sz w:val="22"/>
          <w:lang w:val="es-ES"/>
        </w:rPr>
        <w:t xml:space="preserve">9.2.2 </w:t>
      </w:r>
      <w:r w:rsidR="003109C9">
        <w:rPr>
          <w:rFonts w:cs="Arial"/>
          <w:b/>
          <w:sz w:val="22"/>
          <w:lang w:val="es-ES"/>
        </w:rPr>
        <w:t>Integración</w:t>
      </w:r>
      <w:r w:rsidRPr="00F50AE1">
        <w:rPr>
          <w:rFonts w:cs="Arial"/>
          <w:b/>
          <w:sz w:val="22"/>
          <w:lang w:val="es-ES"/>
        </w:rPr>
        <w:t xml:space="preserve"> con el Sistema Integrado de Gestión Administrativa - SIGA Gestor</w:t>
      </w:r>
      <w:r w:rsidR="007B5C52">
        <w:rPr>
          <w:rFonts w:cs="Arial"/>
          <w:b/>
          <w:sz w:val="22"/>
          <w:lang w:val="es-ES"/>
        </w:rPr>
        <w:t xml:space="preserve"> y </w:t>
      </w:r>
      <w:r w:rsidR="007B5C52">
        <w:rPr>
          <w:b/>
          <w:lang w:val="es-ES"/>
        </w:rPr>
        <w:t xml:space="preserve">Sistema de Administración Financiera </w:t>
      </w:r>
      <w:r w:rsidR="003109C9">
        <w:rPr>
          <w:b/>
          <w:lang w:val="es-ES"/>
        </w:rPr>
        <w:t>–</w:t>
      </w:r>
      <w:r w:rsidR="007B5C52">
        <w:rPr>
          <w:b/>
          <w:lang w:val="es-ES"/>
        </w:rPr>
        <w:t xml:space="preserve"> SIAF</w:t>
      </w:r>
    </w:p>
    <w:p w14:paraId="17D52954" w14:textId="77777777" w:rsidR="003109C9" w:rsidRDefault="003109C9" w:rsidP="00F50AE1">
      <w:pPr>
        <w:spacing w:line="276" w:lineRule="auto"/>
        <w:rPr>
          <w:b/>
          <w:lang w:val="es-ES"/>
        </w:rPr>
      </w:pPr>
    </w:p>
    <w:p w14:paraId="5BDC8301" w14:textId="71076569" w:rsidR="003109C9" w:rsidRDefault="003109C9" w:rsidP="003109C9">
      <w:pPr>
        <w:spacing w:line="276" w:lineRule="auto"/>
        <w:jc w:val="both"/>
        <w:rPr>
          <w:rFonts w:cs="Arial"/>
          <w:sz w:val="22"/>
          <w:lang w:val="es-PE"/>
        </w:rPr>
      </w:pPr>
      <w:r w:rsidRPr="003109C9">
        <w:rPr>
          <w:rFonts w:cs="Arial"/>
          <w:b/>
          <w:bCs/>
          <w:sz w:val="22"/>
          <w:lang w:val="es-PE"/>
        </w:rPr>
        <w:t>SIGA Gestor.</w:t>
      </w:r>
      <w:r w:rsidRPr="003109C9">
        <w:rPr>
          <w:rFonts w:cs="Arial"/>
          <w:sz w:val="22"/>
          <w:lang w:val="es-PE"/>
        </w:rPr>
        <w:t xml:space="preserve"> La </w:t>
      </w:r>
      <w:r>
        <w:rPr>
          <w:rFonts w:cs="Arial"/>
          <w:sz w:val="22"/>
          <w:lang w:val="es-PE"/>
        </w:rPr>
        <w:t>integración</w:t>
      </w:r>
      <w:r w:rsidRPr="003109C9">
        <w:rPr>
          <w:rFonts w:cs="Arial"/>
          <w:sz w:val="22"/>
          <w:lang w:val="es-PE"/>
        </w:rPr>
        <w:t xml:space="preserve"> con SIGA Gestor permitirá articular la «Plataforma Digital de Gestión de Predios» con el sistema institucional interno utilizado para registrar, consultar y dar seguimiento a solicitudes administrativas y presupuestales vinculadas a la Gestión de Predios, tales como solicitudes de Certificado de Crédito Presupuestario (CCP), disponibilidad presupuestal, notas modificatorias, ampliaciones, rebajas, modificaciones de glosa y otros datos asociados a los procesos de adquisición, expropiación, transferencia de predios de propiedad del Estado y reconocimiento de mejoras. Esta interoperabilidad permitirá identificar el número de solicitud, número de CCP, estado del trámite, monto certificado, saldo disponible, observaciones y demás actuaciones presupuestales, fortaleciendo la trazabilidad del Expediente Predial Digital y la toma de decisiones.</w:t>
      </w:r>
    </w:p>
    <w:p w14:paraId="2493FFB9" w14:textId="77777777" w:rsidR="003109C9" w:rsidRPr="003109C9" w:rsidRDefault="003109C9" w:rsidP="003109C9">
      <w:pPr>
        <w:spacing w:line="276" w:lineRule="auto"/>
        <w:rPr>
          <w:rFonts w:cs="Arial"/>
          <w:sz w:val="22"/>
          <w:lang w:val="es-PE"/>
        </w:rPr>
      </w:pPr>
    </w:p>
    <w:p w14:paraId="359A99C0" w14:textId="27F0C527" w:rsidR="003109C9" w:rsidRPr="003109C9" w:rsidRDefault="003109C9" w:rsidP="003109C9">
      <w:pPr>
        <w:spacing w:line="276" w:lineRule="auto"/>
        <w:jc w:val="both"/>
        <w:rPr>
          <w:rFonts w:cs="Arial"/>
          <w:sz w:val="22"/>
          <w:lang w:val="es-PE"/>
        </w:rPr>
      </w:pPr>
      <w:r w:rsidRPr="003109C9">
        <w:rPr>
          <w:rFonts w:cs="Arial"/>
          <w:b/>
          <w:bCs/>
          <w:sz w:val="22"/>
          <w:lang w:val="es-PE"/>
        </w:rPr>
        <w:t>SIAF.</w:t>
      </w:r>
      <w:r w:rsidRPr="003109C9">
        <w:rPr>
          <w:rFonts w:cs="Arial"/>
          <w:sz w:val="22"/>
          <w:lang w:val="es-PE"/>
        </w:rPr>
        <w:t xml:space="preserve"> La integración con el SIAF permitirá que la «Plataforma Digital de Gestión de Predios» consulte y visualice la</w:t>
      </w:r>
      <w:r w:rsidR="004C2973">
        <w:rPr>
          <w:rFonts w:cs="Arial"/>
          <w:sz w:val="22"/>
          <w:lang w:val="es-PE"/>
        </w:rPr>
        <w:t>s</w:t>
      </w:r>
      <w:r w:rsidRPr="003109C9">
        <w:rPr>
          <w:rFonts w:cs="Arial"/>
          <w:sz w:val="22"/>
          <w:lang w:val="es-PE"/>
        </w:rPr>
        <w:t xml:space="preserve"> </w:t>
      </w:r>
      <w:r w:rsidR="004C2973">
        <w:rPr>
          <w:rFonts w:cs="Arial"/>
          <w:sz w:val="22"/>
          <w:lang w:val="es-PE"/>
        </w:rPr>
        <w:t xml:space="preserve">metas </w:t>
      </w:r>
      <w:proofErr w:type="spellStart"/>
      <w:r w:rsidR="004C2973">
        <w:rPr>
          <w:rFonts w:cs="Arial"/>
          <w:sz w:val="22"/>
          <w:lang w:val="es-PE"/>
        </w:rPr>
        <w:t>prepuestales</w:t>
      </w:r>
      <w:proofErr w:type="spellEnd"/>
      <w:r w:rsidR="004C2973">
        <w:rPr>
          <w:rFonts w:cs="Arial"/>
          <w:sz w:val="22"/>
          <w:lang w:val="es-PE"/>
        </w:rPr>
        <w:t xml:space="preserve"> </w:t>
      </w:r>
      <w:r w:rsidRPr="003109C9">
        <w:rPr>
          <w:rFonts w:cs="Arial"/>
          <w:sz w:val="22"/>
          <w:lang w:val="es-PE"/>
        </w:rPr>
        <w:t>programación de los montos o presupuestos asignados a los proyectos de la DDP, a fin de contrastar la información presupuestal aprobada con las metas físicas y presupuestales registradas en la Gestión de Predios. Esta articulación permitirá conocer los montos asignados, la disponibilidad presupuestal y el estado de la programación financiera asociada a los proyectos, contribuyendo al seguimiento presupuestal y al control de la ejecución de las metas aprobadas.</w:t>
      </w:r>
    </w:p>
    <w:p w14:paraId="556A84D4" w14:textId="77777777" w:rsidR="003109C9" w:rsidRPr="00F50AE1" w:rsidRDefault="003109C9" w:rsidP="00F50AE1">
      <w:pPr>
        <w:spacing w:line="276" w:lineRule="auto"/>
        <w:rPr>
          <w:rFonts w:cs="Arial"/>
          <w:sz w:val="22"/>
          <w:lang w:val="es-ES"/>
        </w:rPr>
      </w:pPr>
    </w:p>
    <w:p w14:paraId="39C595A3" w14:textId="77777777" w:rsidR="0036367C" w:rsidRPr="00EF081D" w:rsidRDefault="0036367C" w:rsidP="00EF081D">
      <w:pPr>
        <w:spacing w:line="276" w:lineRule="auto"/>
        <w:jc w:val="both"/>
        <w:rPr>
          <w:rFonts w:cs="Arial"/>
          <w:sz w:val="22"/>
          <w:lang w:val="es-ES"/>
        </w:rPr>
      </w:pPr>
    </w:p>
    <w:p w14:paraId="6C3C1FB4" w14:textId="77777777" w:rsidR="00EF081D" w:rsidRPr="00F50AE1" w:rsidRDefault="00EF081D" w:rsidP="00F50AE1">
      <w:pPr>
        <w:spacing w:line="276" w:lineRule="auto"/>
        <w:rPr>
          <w:rFonts w:cs="Arial"/>
          <w:sz w:val="22"/>
          <w:lang w:val="es-ES"/>
        </w:rPr>
      </w:pPr>
    </w:p>
    <w:p w14:paraId="76107646" w14:textId="0DFC8AA1" w:rsidR="0036367C" w:rsidRDefault="00000000" w:rsidP="00F50AE1">
      <w:pPr>
        <w:spacing w:line="276" w:lineRule="auto"/>
        <w:rPr>
          <w:rFonts w:cs="Arial"/>
          <w:sz w:val="22"/>
          <w:lang w:val="es-ES"/>
        </w:rPr>
      </w:pPr>
      <w:r w:rsidRPr="00F50AE1">
        <w:rPr>
          <w:rFonts w:cs="Arial"/>
          <w:b/>
          <w:sz w:val="22"/>
          <w:lang w:val="es-ES"/>
        </w:rPr>
        <w:t>9.3 Interoperabilidad Externa</w:t>
      </w:r>
    </w:p>
    <w:p w14:paraId="51F016EA" w14:textId="77777777" w:rsidR="0036367C" w:rsidRPr="00F50AE1" w:rsidRDefault="00000000" w:rsidP="00F50AE1">
      <w:pPr>
        <w:spacing w:line="276" w:lineRule="auto"/>
        <w:rPr>
          <w:rFonts w:cs="Arial"/>
          <w:sz w:val="22"/>
          <w:lang w:val="es-ES"/>
        </w:rPr>
      </w:pPr>
      <w:r w:rsidRPr="00F50AE1">
        <w:rPr>
          <w:rFonts w:cs="Arial"/>
          <w:b/>
          <w:sz w:val="22"/>
          <w:lang w:val="es-ES"/>
        </w:rPr>
        <w:t>9.3.1 Interoperabilidad con SUNARP</w:t>
      </w:r>
    </w:p>
    <w:p w14:paraId="57B2FBA5" w14:textId="77777777" w:rsidR="00AE0CD6" w:rsidRPr="00AE0CD6" w:rsidRDefault="00AE0CD6" w:rsidP="00AE0CD6">
      <w:pPr>
        <w:spacing w:line="276" w:lineRule="auto"/>
        <w:jc w:val="both"/>
        <w:rPr>
          <w:rFonts w:cs="Arial"/>
          <w:sz w:val="8"/>
          <w:szCs w:val="8"/>
          <w:lang w:val="es-PE"/>
        </w:rPr>
      </w:pPr>
    </w:p>
    <w:p w14:paraId="3372C97E" w14:textId="1E8B0E5E" w:rsidR="00AE0CD6" w:rsidRDefault="00AE0CD6" w:rsidP="00AE0CD6">
      <w:pPr>
        <w:spacing w:line="276" w:lineRule="auto"/>
        <w:jc w:val="both"/>
        <w:rPr>
          <w:rFonts w:cs="Arial"/>
          <w:sz w:val="22"/>
          <w:lang w:val="es-PE"/>
        </w:rPr>
      </w:pPr>
      <w:r w:rsidRPr="00AE0CD6">
        <w:rPr>
          <w:rFonts w:cs="Arial"/>
          <w:sz w:val="22"/>
          <w:lang w:val="es-PE"/>
        </w:rPr>
        <w:t>La integración con SUNARP permitirá que la «Plataforma Digital de Gestión de Predios» consulte, valide y realice seguimiento de la información registral y gráfica de los predios vinculados a los procesos de adquisición, expropiación y transferencia de predios de propiedad del Estado, conforme al Decreto Legislativo N.° 1192 y a las fichas de procesos aprobadas de la DDP.</w:t>
      </w:r>
    </w:p>
    <w:p w14:paraId="5418F8BA" w14:textId="77777777" w:rsidR="008E1D3B" w:rsidRPr="00AE0CD6" w:rsidRDefault="008E1D3B" w:rsidP="00AE0CD6">
      <w:pPr>
        <w:spacing w:line="276" w:lineRule="auto"/>
        <w:jc w:val="both"/>
        <w:rPr>
          <w:rFonts w:cs="Arial"/>
          <w:sz w:val="22"/>
          <w:lang w:val="es-PE"/>
        </w:rPr>
      </w:pPr>
    </w:p>
    <w:p w14:paraId="55A8C7A8" w14:textId="5D1384F6" w:rsidR="00AE0CD6" w:rsidRDefault="00AE0CD6" w:rsidP="00AE0CD6">
      <w:pPr>
        <w:spacing w:line="276" w:lineRule="auto"/>
        <w:jc w:val="both"/>
        <w:rPr>
          <w:rFonts w:cs="Arial"/>
          <w:sz w:val="22"/>
          <w:lang w:val="es-PE"/>
        </w:rPr>
      </w:pPr>
      <w:r w:rsidRPr="00AE0CD6">
        <w:rPr>
          <w:rFonts w:cs="Arial"/>
          <w:sz w:val="22"/>
          <w:lang w:val="es-PE"/>
        </w:rPr>
        <w:t xml:space="preserve">La información obtenida se incorporará a la </w:t>
      </w:r>
      <w:proofErr w:type="spellStart"/>
      <w:r w:rsidR="008E1D3B">
        <w:rPr>
          <w:rFonts w:cs="Arial"/>
          <w:sz w:val="22"/>
          <w:lang w:val="es-PE"/>
        </w:rPr>
        <w:t>G</w:t>
      </w:r>
      <w:r w:rsidRPr="00AE0CD6">
        <w:rPr>
          <w:rFonts w:cs="Arial"/>
          <w:sz w:val="22"/>
          <w:lang w:val="es-PE"/>
        </w:rPr>
        <w:t>eodatabase</w:t>
      </w:r>
      <w:proofErr w:type="spellEnd"/>
      <w:r w:rsidRPr="00AE0CD6">
        <w:rPr>
          <w:rFonts w:cs="Arial"/>
          <w:sz w:val="22"/>
          <w:lang w:val="es-PE"/>
        </w:rPr>
        <w:t xml:space="preserve"> corporativa y al Expediente Predial Digital, fortaleciendo la trazabilidad, la consistencia jurídica, la identificación del inmueble, la determinación del sujeto pasivo, la anotación preventiva y el seguimiento de la inscripción registral a favor del MTC, según corresponda.</w:t>
      </w:r>
    </w:p>
    <w:p w14:paraId="0671B3E5" w14:textId="77777777" w:rsidR="008E1D3B" w:rsidRDefault="008E1D3B" w:rsidP="00AE0CD6">
      <w:pPr>
        <w:spacing w:line="276" w:lineRule="auto"/>
        <w:jc w:val="both"/>
        <w:rPr>
          <w:rFonts w:cs="Arial"/>
          <w:sz w:val="22"/>
          <w:lang w:val="es-PE"/>
        </w:rPr>
      </w:pPr>
    </w:p>
    <w:p w14:paraId="0142A7B0" w14:textId="77777777" w:rsidR="008E1D3B" w:rsidRDefault="008E1D3B" w:rsidP="00AE0CD6">
      <w:pPr>
        <w:spacing w:line="276" w:lineRule="auto"/>
        <w:jc w:val="both"/>
        <w:rPr>
          <w:rFonts w:cs="Arial"/>
          <w:sz w:val="22"/>
          <w:lang w:val="es-PE"/>
        </w:rPr>
      </w:pPr>
    </w:p>
    <w:p w14:paraId="10C39A0E" w14:textId="0615CF63" w:rsidR="008E1D3B" w:rsidRPr="008E1D3B" w:rsidRDefault="008E1D3B" w:rsidP="008E1D3B">
      <w:pPr>
        <w:spacing w:line="276" w:lineRule="auto"/>
        <w:rPr>
          <w:rFonts w:cs="Arial"/>
          <w:b/>
          <w:bCs/>
          <w:sz w:val="22"/>
          <w:lang w:val="es-PE"/>
        </w:rPr>
      </w:pPr>
      <w:r w:rsidRPr="008E1D3B">
        <w:rPr>
          <w:rFonts w:cs="Arial"/>
          <w:b/>
          <w:bCs/>
          <w:sz w:val="22"/>
          <w:lang w:val="es-PE"/>
        </w:rPr>
        <w:t xml:space="preserve">Cuadro: </w:t>
      </w:r>
      <w:r w:rsidRPr="008E1D3B">
        <w:rPr>
          <w:rFonts w:cs="Arial"/>
          <w:b/>
          <w:bCs/>
          <w:sz w:val="22"/>
          <w:lang w:val="es-PE"/>
        </w:rPr>
        <w:t>Matriz de servicios de interoperabilidad con SUNARP para la Plataforma de Gestión de Predios</w:t>
      </w:r>
    </w:p>
    <w:p w14:paraId="74728A16" w14:textId="77777777" w:rsidR="00AE0CD6" w:rsidRDefault="00AE0CD6" w:rsidP="008A719E">
      <w:pPr>
        <w:spacing w:line="276" w:lineRule="auto"/>
        <w:jc w:val="both"/>
        <w:rPr>
          <w:rFonts w:cs="Arial"/>
          <w:sz w:val="22"/>
          <w:lang w:val="es-PE"/>
        </w:rPr>
      </w:pPr>
    </w:p>
    <w:tbl>
      <w:tblPr>
        <w:tblStyle w:val="Tablaconcuadrcula"/>
        <w:tblW w:w="0" w:type="auto"/>
        <w:tblLook w:val="04A0" w:firstRow="1" w:lastRow="0" w:firstColumn="1" w:lastColumn="0" w:noHBand="0" w:noVBand="1"/>
      </w:tblPr>
      <w:tblGrid>
        <w:gridCol w:w="545"/>
        <w:gridCol w:w="1664"/>
        <w:gridCol w:w="2561"/>
        <w:gridCol w:w="1998"/>
        <w:gridCol w:w="2060"/>
      </w:tblGrid>
      <w:tr w:rsidR="00AE0CD6" w:rsidRPr="00AE0CD6" w14:paraId="714882BF" w14:textId="77777777" w:rsidTr="00AE0CD6">
        <w:trPr>
          <w:trHeight w:val="480"/>
        </w:trPr>
        <w:tc>
          <w:tcPr>
            <w:tcW w:w="0" w:type="auto"/>
            <w:hideMark/>
          </w:tcPr>
          <w:p w14:paraId="2D578C73" w14:textId="77777777" w:rsidR="00AE0CD6" w:rsidRPr="00AE0CD6" w:rsidRDefault="00AE0CD6" w:rsidP="00AE0CD6">
            <w:pPr>
              <w:jc w:val="center"/>
              <w:rPr>
                <w:rFonts w:eastAsia="Times New Roman" w:cs="Arial"/>
                <w:b/>
                <w:bCs/>
                <w:color w:val="auto"/>
                <w:sz w:val="16"/>
                <w:szCs w:val="16"/>
                <w:lang w:val="es-PE" w:eastAsia="es-PE"/>
              </w:rPr>
            </w:pPr>
            <w:r w:rsidRPr="00AE0CD6">
              <w:rPr>
                <w:rFonts w:eastAsia="Times New Roman" w:cs="Arial"/>
                <w:b/>
                <w:bCs/>
                <w:color w:val="auto"/>
                <w:sz w:val="16"/>
                <w:szCs w:val="16"/>
                <w:lang w:val="es-PE" w:eastAsia="es-PE"/>
              </w:rPr>
              <w:t>Ítem</w:t>
            </w:r>
          </w:p>
        </w:tc>
        <w:tc>
          <w:tcPr>
            <w:tcW w:w="0" w:type="auto"/>
            <w:hideMark/>
          </w:tcPr>
          <w:p w14:paraId="12B3D42C" w14:textId="77777777" w:rsidR="00AE0CD6" w:rsidRPr="00AE0CD6" w:rsidRDefault="00AE0CD6" w:rsidP="00AE0CD6">
            <w:pPr>
              <w:jc w:val="center"/>
              <w:rPr>
                <w:rFonts w:eastAsia="Times New Roman" w:cs="Arial"/>
                <w:b/>
                <w:bCs/>
                <w:color w:val="auto"/>
                <w:sz w:val="16"/>
                <w:szCs w:val="16"/>
                <w:lang w:val="es-PE" w:eastAsia="es-PE"/>
              </w:rPr>
            </w:pPr>
            <w:r w:rsidRPr="00AE0CD6">
              <w:rPr>
                <w:rFonts w:eastAsia="Times New Roman" w:cs="Arial"/>
                <w:b/>
                <w:bCs/>
                <w:color w:val="auto"/>
                <w:sz w:val="16"/>
                <w:szCs w:val="16"/>
                <w:lang w:val="es-PE" w:eastAsia="es-PE"/>
              </w:rPr>
              <w:t>Servicio / interoperabilidad</w:t>
            </w:r>
          </w:p>
        </w:tc>
        <w:tc>
          <w:tcPr>
            <w:tcW w:w="0" w:type="auto"/>
            <w:hideMark/>
          </w:tcPr>
          <w:p w14:paraId="17DF5EE6" w14:textId="77777777" w:rsidR="00AE0CD6" w:rsidRPr="00AE0CD6" w:rsidRDefault="00AE0CD6" w:rsidP="00AE0CD6">
            <w:pPr>
              <w:jc w:val="center"/>
              <w:rPr>
                <w:rFonts w:eastAsia="Times New Roman" w:cs="Arial"/>
                <w:b/>
                <w:bCs/>
                <w:color w:val="auto"/>
                <w:sz w:val="16"/>
                <w:szCs w:val="16"/>
                <w:lang w:val="es-PE" w:eastAsia="es-PE"/>
              </w:rPr>
            </w:pPr>
            <w:r w:rsidRPr="00AE0CD6">
              <w:rPr>
                <w:rFonts w:eastAsia="Times New Roman" w:cs="Arial"/>
                <w:b/>
                <w:bCs/>
                <w:color w:val="auto"/>
                <w:sz w:val="16"/>
                <w:szCs w:val="16"/>
                <w:lang w:val="es-PE" w:eastAsia="es-PE"/>
              </w:rPr>
              <w:t>¿Para qué serviría en la Plataforma de Gestión de Predios?</w:t>
            </w:r>
          </w:p>
        </w:tc>
        <w:tc>
          <w:tcPr>
            <w:tcW w:w="0" w:type="auto"/>
            <w:hideMark/>
          </w:tcPr>
          <w:p w14:paraId="6F4858E5" w14:textId="77777777" w:rsidR="00AE0CD6" w:rsidRPr="00AE0CD6" w:rsidRDefault="00AE0CD6" w:rsidP="00AE0CD6">
            <w:pPr>
              <w:jc w:val="center"/>
              <w:rPr>
                <w:rFonts w:eastAsia="Times New Roman" w:cs="Arial"/>
                <w:b/>
                <w:bCs/>
                <w:color w:val="auto"/>
                <w:sz w:val="16"/>
                <w:szCs w:val="16"/>
                <w:lang w:val="es-PE" w:eastAsia="es-PE"/>
              </w:rPr>
            </w:pPr>
            <w:r w:rsidRPr="00AE0CD6">
              <w:rPr>
                <w:rFonts w:eastAsia="Times New Roman" w:cs="Arial"/>
                <w:b/>
                <w:bCs/>
                <w:color w:val="auto"/>
                <w:sz w:val="16"/>
                <w:szCs w:val="16"/>
                <w:lang w:val="es-PE" w:eastAsia="es-PE"/>
              </w:rPr>
              <w:t>Información que enviaría la Plataforma</w:t>
            </w:r>
          </w:p>
        </w:tc>
        <w:tc>
          <w:tcPr>
            <w:tcW w:w="0" w:type="auto"/>
            <w:hideMark/>
          </w:tcPr>
          <w:p w14:paraId="45874400" w14:textId="77777777" w:rsidR="00AE0CD6" w:rsidRPr="00AE0CD6" w:rsidRDefault="00AE0CD6" w:rsidP="00AE0CD6">
            <w:pPr>
              <w:jc w:val="center"/>
              <w:rPr>
                <w:rFonts w:eastAsia="Times New Roman" w:cs="Arial"/>
                <w:b/>
                <w:bCs/>
                <w:color w:val="auto"/>
                <w:sz w:val="16"/>
                <w:szCs w:val="16"/>
                <w:lang w:val="es-PE" w:eastAsia="es-PE"/>
              </w:rPr>
            </w:pPr>
            <w:r w:rsidRPr="00AE0CD6">
              <w:rPr>
                <w:rFonts w:eastAsia="Times New Roman" w:cs="Arial"/>
                <w:b/>
                <w:bCs/>
                <w:color w:val="auto"/>
                <w:sz w:val="16"/>
                <w:szCs w:val="16"/>
                <w:lang w:val="es-PE" w:eastAsia="es-PE"/>
              </w:rPr>
              <w:t>Información que recibiría</w:t>
            </w:r>
          </w:p>
        </w:tc>
      </w:tr>
      <w:tr w:rsidR="00AE0CD6" w:rsidRPr="00AE0CD6" w14:paraId="191D2A1F" w14:textId="77777777" w:rsidTr="00AE0CD6">
        <w:trPr>
          <w:trHeight w:val="1140"/>
        </w:trPr>
        <w:tc>
          <w:tcPr>
            <w:tcW w:w="0" w:type="auto"/>
            <w:hideMark/>
          </w:tcPr>
          <w:p w14:paraId="05CCD5EC"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w:t>
            </w:r>
          </w:p>
        </w:tc>
        <w:tc>
          <w:tcPr>
            <w:tcW w:w="0" w:type="auto"/>
            <w:hideMark/>
          </w:tcPr>
          <w:p w14:paraId="1E376E0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titularidad de dominio / titularidad de bienes</w:t>
            </w:r>
          </w:p>
        </w:tc>
        <w:tc>
          <w:tcPr>
            <w:tcW w:w="0" w:type="auto"/>
            <w:hideMark/>
          </w:tcPr>
          <w:p w14:paraId="4F845A88"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identificar o validar si una persona natural o jurídica registra titularidad vinculada a predios, como apoyo al Diagnóstico Técnico Legal y a la identificación del sujeto pasivo.</w:t>
            </w:r>
          </w:p>
        </w:tc>
        <w:tc>
          <w:tcPr>
            <w:tcW w:w="0" w:type="auto"/>
            <w:hideMark/>
          </w:tcPr>
          <w:p w14:paraId="2391ED66"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Tipo de participante: persona natural o persona jurídica; apellidos y nombres, razón social, tipo y número de documento, según corresponda.</w:t>
            </w:r>
          </w:p>
        </w:tc>
        <w:tc>
          <w:tcPr>
            <w:tcW w:w="0" w:type="auto"/>
            <w:hideMark/>
          </w:tcPr>
          <w:p w14:paraId="304D1B4D"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Registro, libro, nombres o razón social, tipo y número de documento, número de partida, estado, zona registral, oficina registral y dirección, cuando corresponda a predios.</w:t>
            </w:r>
          </w:p>
        </w:tc>
      </w:tr>
      <w:tr w:rsidR="00AE0CD6" w:rsidRPr="00AE0CD6" w14:paraId="399EECA4" w14:textId="77777777" w:rsidTr="00AE0CD6">
        <w:trPr>
          <w:trHeight w:val="912"/>
        </w:trPr>
        <w:tc>
          <w:tcPr>
            <w:tcW w:w="0" w:type="auto"/>
            <w:hideMark/>
          </w:tcPr>
          <w:p w14:paraId="0EE5B63D"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2</w:t>
            </w:r>
          </w:p>
        </w:tc>
        <w:tc>
          <w:tcPr>
            <w:tcW w:w="0" w:type="auto"/>
            <w:hideMark/>
          </w:tcPr>
          <w:p w14:paraId="1D8D06D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partidas registrales de predios inscritos</w:t>
            </w:r>
          </w:p>
        </w:tc>
        <w:tc>
          <w:tcPr>
            <w:tcW w:w="0" w:type="auto"/>
            <w:hideMark/>
          </w:tcPr>
          <w:p w14:paraId="464D622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consultar y contrastar la información registral del predio inscrito con la información técnica y legal registrada en la Plataforma.</w:t>
            </w:r>
          </w:p>
        </w:tc>
        <w:tc>
          <w:tcPr>
            <w:tcW w:w="0" w:type="auto"/>
            <w:hideMark/>
          </w:tcPr>
          <w:p w14:paraId="21BAE3B6"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Zona registral, oficina registral, número de partida y tipo de registro.</w:t>
            </w:r>
          </w:p>
        </w:tc>
        <w:tc>
          <w:tcPr>
            <w:tcW w:w="0" w:type="auto"/>
            <w:hideMark/>
          </w:tcPr>
          <w:p w14:paraId="19BE6E6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Información de la partida registral del predio, registro, libro, estado, zona registral y oficina registral.</w:t>
            </w:r>
          </w:p>
        </w:tc>
      </w:tr>
      <w:tr w:rsidR="00AE0CD6" w:rsidRPr="00AE0CD6" w14:paraId="5E87BB1A" w14:textId="77777777" w:rsidTr="00AE0CD6">
        <w:trPr>
          <w:trHeight w:val="816"/>
        </w:trPr>
        <w:tc>
          <w:tcPr>
            <w:tcW w:w="0" w:type="auto"/>
            <w:hideMark/>
          </w:tcPr>
          <w:p w14:paraId="20E92D64"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2.1</w:t>
            </w:r>
          </w:p>
        </w:tc>
        <w:tc>
          <w:tcPr>
            <w:tcW w:w="0" w:type="auto"/>
            <w:hideMark/>
          </w:tcPr>
          <w:p w14:paraId="2C7F18B1"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lista de asientos registrales</w:t>
            </w:r>
          </w:p>
        </w:tc>
        <w:tc>
          <w:tcPr>
            <w:tcW w:w="0" w:type="auto"/>
            <w:hideMark/>
          </w:tcPr>
          <w:p w14:paraId="22E2FD18"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identificar los asientos disponibles dentro de una partida registral, a fin de revisar antecedentes, transferencias, cargas, gravámenes u otros actos inscritos vinculados al predio.</w:t>
            </w:r>
          </w:p>
        </w:tc>
        <w:tc>
          <w:tcPr>
            <w:tcW w:w="0" w:type="auto"/>
            <w:hideMark/>
          </w:tcPr>
          <w:p w14:paraId="79143D6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Zona registral, oficina registral, número de partida y código de registro de propiedad inmueble.</w:t>
            </w:r>
          </w:p>
        </w:tc>
        <w:tc>
          <w:tcPr>
            <w:tcW w:w="0" w:type="auto"/>
            <w:hideMark/>
          </w:tcPr>
          <w:p w14:paraId="1885C29D"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Código de transacción, número total de páginas, identificador de imagen del asiento, tipo de asiento, número de página y referencia de página.</w:t>
            </w:r>
          </w:p>
        </w:tc>
      </w:tr>
      <w:tr w:rsidR="00AE0CD6" w:rsidRPr="00AE0CD6" w14:paraId="24EF26A2" w14:textId="77777777" w:rsidTr="00AE0CD6">
        <w:trPr>
          <w:trHeight w:val="612"/>
        </w:trPr>
        <w:tc>
          <w:tcPr>
            <w:tcW w:w="0" w:type="auto"/>
            <w:hideMark/>
          </w:tcPr>
          <w:p w14:paraId="1821CBE2"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2.2</w:t>
            </w:r>
          </w:p>
        </w:tc>
        <w:tc>
          <w:tcPr>
            <w:tcW w:w="0" w:type="auto"/>
            <w:hideMark/>
          </w:tcPr>
          <w:p w14:paraId="6397651B"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Visualización de asiento registral</w:t>
            </w:r>
          </w:p>
        </w:tc>
        <w:tc>
          <w:tcPr>
            <w:tcW w:w="0" w:type="auto"/>
            <w:hideMark/>
          </w:tcPr>
          <w:p w14:paraId="420EAC01"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obtener la imagen del asiento registral y utilizarla como sustento dentro del Expediente Predial Digital.</w:t>
            </w:r>
          </w:p>
        </w:tc>
        <w:tc>
          <w:tcPr>
            <w:tcW w:w="0" w:type="auto"/>
            <w:hideMark/>
          </w:tcPr>
          <w:p w14:paraId="47E96B1E"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Código de transacción, identificador de imagen, tipo de asiento, número total de páginas, número de página de referencia y número de página solicitada.</w:t>
            </w:r>
          </w:p>
        </w:tc>
        <w:tc>
          <w:tcPr>
            <w:tcW w:w="0" w:type="auto"/>
            <w:hideMark/>
          </w:tcPr>
          <w:p w14:paraId="60BF460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Imagen del asiento registral en formato codificado o archivo visualizable, según disponibilidad del servicio.</w:t>
            </w:r>
          </w:p>
        </w:tc>
      </w:tr>
      <w:tr w:rsidR="00AE0CD6" w:rsidRPr="00AE0CD6" w14:paraId="70051738" w14:textId="77777777" w:rsidTr="00AE0CD6">
        <w:trPr>
          <w:trHeight w:val="684"/>
        </w:trPr>
        <w:tc>
          <w:tcPr>
            <w:tcW w:w="0" w:type="auto"/>
            <w:hideMark/>
          </w:tcPr>
          <w:p w14:paraId="05A9DA64"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3</w:t>
            </w:r>
          </w:p>
        </w:tc>
        <w:tc>
          <w:tcPr>
            <w:tcW w:w="0" w:type="auto"/>
            <w:hideMark/>
          </w:tcPr>
          <w:p w14:paraId="602BD105"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oficinas registrales</w:t>
            </w:r>
          </w:p>
        </w:tc>
        <w:tc>
          <w:tcPr>
            <w:tcW w:w="0" w:type="auto"/>
            <w:hideMark/>
          </w:tcPr>
          <w:p w14:paraId="0BFE8A7B"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identificar correctamente la zona y oficina registral competente asociada a una partida, título o consulta predial.</w:t>
            </w:r>
          </w:p>
        </w:tc>
        <w:tc>
          <w:tcPr>
            <w:tcW w:w="0" w:type="auto"/>
            <w:hideMark/>
          </w:tcPr>
          <w:p w14:paraId="3F13461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Credenciales del servicio o parámetros de consulta autorizados.</w:t>
            </w:r>
          </w:p>
        </w:tc>
        <w:tc>
          <w:tcPr>
            <w:tcW w:w="0" w:type="auto"/>
            <w:hideMark/>
          </w:tcPr>
          <w:p w14:paraId="6175673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Código de zona registral, código de oficina registral y descripción de la oficina registral.</w:t>
            </w:r>
          </w:p>
        </w:tc>
      </w:tr>
      <w:tr w:rsidR="00AE0CD6" w:rsidRPr="00AE0CD6" w14:paraId="672CF36A" w14:textId="77777777" w:rsidTr="00AE0CD6">
        <w:trPr>
          <w:trHeight w:val="912"/>
        </w:trPr>
        <w:tc>
          <w:tcPr>
            <w:tcW w:w="0" w:type="auto"/>
            <w:hideMark/>
          </w:tcPr>
          <w:p w14:paraId="0E58BDAD"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4</w:t>
            </w:r>
          </w:p>
        </w:tc>
        <w:tc>
          <w:tcPr>
            <w:tcW w:w="0" w:type="auto"/>
            <w:hideMark/>
          </w:tcPr>
          <w:p w14:paraId="7D7152E9"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Registro de Personas Jurídicas</w:t>
            </w:r>
          </w:p>
        </w:tc>
        <w:tc>
          <w:tcPr>
            <w:tcW w:w="0" w:type="auto"/>
            <w:hideMark/>
          </w:tcPr>
          <w:p w14:paraId="7F86B64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validar la inscripción registral de una persona jurídica cuando esta figure como titular registral, sujeto pasivo, representante o entidad vinculada al predio.</w:t>
            </w:r>
          </w:p>
        </w:tc>
        <w:tc>
          <w:tcPr>
            <w:tcW w:w="0" w:type="auto"/>
            <w:hideMark/>
          </w:tcPr>
          <w:p w14:paraId="6E0B5832"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Razón social o denominación de la persona jurídica.</w:t>
            </w:r>
          </w:p>
        </w:tc>
        <w:tc>
          <w:tcPr>
            <w:tcW w:w="0" w:type="auto"/>
            <w:hideMark/>
          </w:tcPr>
          <w:p w14:paraId="44435BFE"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Zona registral, oficina registral, número de partida, ficha, tomo, folio, tipo de persona jurídica y denominación o razón social encontrada.</w:t>
            </w:r>
          </w:p>
        </w:tc>
      </w:tr>
      <w:tr w:rsidR="00AE0CD6" w:rsidRPr="00AE0CD6" w14:paraId="4786E057" w14:textId="77777777" w:rsidTr="00AE0CD6">
        <w:trPr>
          <w:trHeight w:val="1140"/>
        </w:trPr>
        <w:tc>
          <w:tcPr>
            <w:tcW w:w="0" w:type="auto"/>
            <w:hideMark/>
          </w:tcPr>
          <w:p w14:paraId="42832909"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5</w:t>
            </w:r>
          </w:p>
        </w:tc>
        <w:tc>
          <w:tcPr>
            <w:tcW w:w="0" w:type="auto"/>
            <w:hideMark/>
          </w:tcPr>
          <w:p w14:paraId="3CCA1DF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Índice Nacional de Verificadores</w:t>
            </w:r>
          </w:p>
        </w:tc>
        <w:tc>
          <w:tcPr>
            <w:tcW w:w="0" w:type="auto"/>
            <w:hideMark/>
          </w:tcPr>
          <w:p w14:paraId="30EBF1C2"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 xml:space="preserve">Serviría para validar si un verificador se encuentra registrado y activo, cuando participe en actuaciones técnicas, registrales o </w:t>
            </w:r>
            <w:proofErr w:type="gramStart"/>
            <w:r w:rsidRPr="00AE0CD6">
              <w:rPr>
                <w:rFonts w:eastAsia="Times New Roman" w:cs="Arial"/>
                <w:color w:val="auto"/>
                <w:sz w:val="16"/>
                <w:szCs w:val="16"/>
                <w:lang w:val="es-PE" w:eastAsia="es-PE"/>
              </w:rPr>
              <w:t>documentales vinculadas</w:t>
            </w:r>
            <w:proofErr w:type="gramEnd"/>
            <w:r w:rsidRPr="00AE0CD6">
              <w:rPr>
                <w:rFonts w:eastAsia="Times New Roman" w:cs="Arial"/>
                <w:color w:val="auto"/>
                <w:sz w:val="16"/>
                <w:szCs w:val="16"/>
                <w:lang w:val="es-PE" w:eastAsia="es-PE"/>
              </w:rPr>
              <w:t xml:space="preserve"> a la Gestión de Predios.</w:t>
            </w:r>
          </w:p>
        </w:tc>
        <w:tc>
          <w:tcPr>
            <w:tcW w:w="0" w:type="auto"/>
            <w:hideMark/>
          </w:tcPr>
          <w:p w14:paraId="66A66A54"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Apellido paterno, apellido materno y nombres del verificador.</w:t>
            </w:r>
          </w:p>
        </w:tc>
        <w:tc>
          <w:tcPr>
            <w:tcW w:w="0" w:type="auto"/>
            <w:hideMark/>
          </w:tcPr>
          <w:p w14:paraId="194A03F7"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Apellidos y nombres, estado, profesión, teléfono, tipo de verificador y zona registral.</w:t>
            </w:r>
          </w:p>
        </w:tc>
      </w:tr>
      <w:tr w:rsidR="00AE0CD6" w:rsidRPr="00AE0CD6" w14:paraId="66AEE0CC" w14:textId="77777777" w:rsidTr="00AE0CD6">
        <w:trPr>
          <w:trHeight w:val="1140"/>
        </w:trPr>
        <w:tc>
          <w:tcPr>
            <w:tcW w:w="0" w:type="auto"/>
            <w:hideMark/>
          </w:tcPr>
          <w:p w14:paraId="1C5939A2"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6</w:t>
            </w:r>
          </w:p>
        </w:tc>
        <w:tc>
          <w:tcPr>
            <w:tcW w:w="0" w:type="auto"/>
            <w:hideMark/>
          </w:tcPr>
          <w:p w14:paraId="2604AF08"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la Base Gráfica Registral</w:t>
            </w:r>
          </w:p>
        </w:tc>
        <w:tc>
          <w:tcPr>
            <w:tcW w:w="0" w:type="auto"/>
            <w:hideMark/>
          </w:tcPr>
          <w:p w14:paraId="1CBB7BB5"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contrastar el polígono del predio del proyecto con la información gráfica registral disponible, a fin de identificar coincidencias, superposiciones, diferencias de área o inconsistencias espaciales.</w:t>
            </w:r>
          </w:p>
        </w:tc>
        <w:tc>
          <w:tcPr>
            <w:tcW w:w="0" w:type="auto"/>
            <w:hideMark/>
          </w:tcPr>
          <w:p w14:paraId="5F859243"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 xml:space="preserve">Coordenadas, polígono del predio, </w:t>
            </w:r>
            <w:proofErr w:type="spellStart"/>
            <w:r w:rsidRPr="00AE0CD6">
              <w:rPr>
                <w:rFonts w:eastAsia="Times New Roman" w:cs="Arial"/>
                <w:color w:val="auto"/>
                <w:sz w:val="16"/>
                <w:szCs w:val="16"/>
                <w:lang w:val="es-PE" w:eastAsia="es-PE"/>
              </w:rPr>
              <w:t>ubigeo</w:t>
            </w:r>
            <w:proofErr w:type="spellEnd"/>
            <w:r w:rsidRPr="00AE0CD6">
              <w:rPr>
                <w:rFonts w:eastAsia="Times New Roman" w:cs="Arial"/>
                <w:color w:val="auto"/>
                <w:sz w:val="16"/>
                <w:szCs w:val="16"/>
                <w:lang w:val="es-PE" w:eastAsia="es-PE"/>
              </w:rPr>
              <w:t>, ámbito del proyecto, código del predio, zona registral u oficina registral.</w:t>
            </w:r>
          </w:p>
        </w:tc>
        <w:tc>
          <w:tcPr>
            <w:tcW w:w="0" w:type="auto"/>
            <w:hideMark/>
          </w:tcPr>
          <w:p w14:paraId="2249076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Geometría registral referencial, predios inscritos vinculados al ámbito, partidas asociadas, posibles superposiciones, diferencias gráficas o información espacial registral disponible.</w:t>
            </w:r>
          </w:p>
        </w:tc>
      </w:tr>
      <w:tr w:rsidR="00AE0CD6" w:rsidRPr="00AE0CD6" w14:paraId="700E8C43" w14:textId="77777777" w:rsidTr="00AE0CD6">
        <w:trPr>
          <w:trHeight w:val="1368"/>
        </w:trPr>
        <w:tc>
          <w:tcPr>
            <w:tcW w:w="0" w:type="auto"/>
            <w:hideMark/>
          </w:tcPr>
          <w:p w14:paraId="5DF2EA25"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7</w:t>
            </w:r>
          </w:p>
        </w:tc>
        <w:tc>
          <w:tcPr>
            <w:tcW w:w="0" w:type="auto"/>
            <w:hideMark/>
          </w:tcPr>
          <w:p w14:paraId="4B0D66D5"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Anotación preventiva</w:t>
            </w:r>
          </w:p>
        </w:tc>
        <w:tc>
          <w:tcPr>
            <w:tcW w:w="0" w:type="auto"/>
            <w:hideMark/>
          </w:tcPr>
          <w:p w14:paraId="5C2EC79A"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registrar o hacer seguimiento a la anotación preventiva vinculada a predios comprendidos en procesos de adquisición, expropiación, regularización o transferencia, dejando constancia registral del procedimiento en curso.</w:t>
            </w:r>
          </w:p>
        </w:tc>
        <w:tc>
          <w:tcPr>
            <w:tcW w:w="0" w:type="auto"/>
            <w:hideMark/>
          </w:tcPr>
          <w:p w14:paraId="09AC5111"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Código del predio, partida registral, acto solicitado, resolución o documento de sustento, datos del proyecto, datos del sujeto activo, datos del sujeto pasivo y documentos del expediente.</w:t>
            </w:r>
          </w:p>
        </w:tc>
        <w:tc>
          <w:tcPr>
            <w:tcW w:w="0" w:type="auto"/>
            <w:hideMark/>
          </w:tcPr>
          <w:p w14:paraId="32AE9ECA"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Número de título, constancia de presentación, asiento de anotación preventiva, fecha de inscripción, vigencia, observaciones o esquela registral, según corresponda.</w:t>
            </w:r>
          </w:p>
        </w:tc>
      </w:tr>
      <w:tr w:rsidR="00AE0CD6" w:rsidRPr="00AE0CD6" w14:paraId="4104399C" w14:textId="77777777" w:rsidTr="00AE0CD6">
        <w:trPr>
          <w:trHeight w:val="1596"/>
        </w:trPr>
        <w:tc>
          <w:tcPr>
            <w:tcW w:w="0" w:type="auto"/>
            <w:hideMark/>
          </w:tcPr>
          <w:p w14:paraId="7927E138"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8</w:t>
            </w:r>
          </w:p>
        </w:tc>
        <w:tc>
          <w:tcPr>
            <w:tcW w:w="0" w:type="auto"/>
            <w:hideMark/>
          </w:tcPr>
          <w:p w14:paraId="09F81D5B"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Inscripción registral</w:t>
            </w:r>
          </w:p>
        </w:tc>
        <w:tc>
          <w:tcPr>
            <w:tcW w:w="0" w:type="auto"/>
            <w:hideMark/>
          </w:tcPr>
          <w:p w14:paraId="0E8AD0DA"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gestionar o hacer seguimiento a la inscripción de actos registrales vinculados a la Gestión de Predios, tales como transferencia de dominio a favor del MTC, independización, acumulación, rectificación de área, levantamiento de cargas u otros actos necesarios para la disponibilidad del predio.</w:t>
            </w:r>
          </w:p>
        </w:tc>
        <w:tc>
          <w:tcPr>
            <w:tcW w:w="0" w:type="auto"/>
            <w:hideMark/>
          </w:tcPr>
          <w:p w14:paraId="7E7AF5C9"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Partida registral, acto registral solicitado, resolución, contrato, escritura pública, parte notarial, plano, memoria descriptiva, documentos técnicos y legales, datos del predio y código del Expediente Predial Digital.</w:t>
            </w:r>
          </w:p>
        </w:tc>
        <w:tc>
          <w:tcPr>
            <w:tcW w:w="0" w:type="auto"/>
            <w:hideMark/>
          </w:tcPr>
          <w:p w14:paraId="4E3421D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Número de título, asiento registral, partida actualizada, constancia de inscripción, observaciones, esquela, tacha o resultado de calificación registral.</w:t>
            </w:r>
          </w:p>
        </w:tc>
      </w:tr>
      <w:tr w:rsidR="00AE0CD6" w:rsidRPr="00AE0CD6" w14:paraId="06161C8D" w14:textId="77777777" w:rsidTr="00AE0CD6">
        <w:trPr>
          <w:trHeight w:val="1368"/>
        </w:trPr>
        <w:tc>
          <w:tcPr>
            <w:tcW w:w="0" w:type="auto"/>
            <w:hideMark/>
          </w:tcPr>
          <w:p w14:paraId="5A22E817"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9</w:t>
            </w:r>
          </w:p>
        </w:tc>
        <w:tc>
          <w:tcPr>
            <w:tcW w:w="0" w:type="auto"/>
            <w:hideMark/>
          </w:tcPr>
          <w:p w14:paraId="082EB312"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Seguimiento de títulos registrales</w:t>
            </w:r>
          </w:p>
        </w:tc>
        <w:tc>
          <w:tcPr>
            <w:tcW w:w="0" w:type="auto"/>
            <w:hideMark/>
          </w:tcPr>
          <w:p w14:paraId="02985E8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consultar el estado de los títulos presentados ante SUNARP vinculados a actos registrales del predio, como anotación preventiva, transferencia, independización, acumulación, rectificación o inscripción de dominio.</w:t>
            </w:r>
          </w:p>
        </w:tc>
        <w:tc>
          <w:tcPr>
            <w:tcW w:w="0" w:type="auto"/>
            <w:hideMark/>
          </w:tcPr>
          <w:p w14:paraId="2A703D16"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Oficina registral, año, número de título, acto registral y código del Expediente Predial Digital.</w:t>
            </w:r>
          </w:p>
        </w:tc>
        <w:tc>
          <w:tcPr>
            <w:tcW w:w="0" w:type="auto"/>
            <w:hideMark/>
          </w:tcPr>
          <w:p w14:paraId="2EE4441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Estado del título, etapa del trámite, fecha de presentación, observaciones, esquela, inscripción, tacha o resultado de calificación registral.</w:t>
            </w:r>
          </w:p>
        </w:tc>
      </w:tr>
      <w:tr w:rsidR="00AE0CD6" w:rsidRPr="00AE0CD6" w14:paraId="48E5A12F" w14:textId="77777777" w:rsidTr="00AE0CD6">
        <w:trPr>
          <w:trHeight w:val="912"/>
        </w:trPr>
        <w:tc>
          <w:tcPr>
            <w:tcW w:w="0" w:type="auto"/>
            <w:hideMark/>
          </w:tcPr>
          <w:p w14:paraId="1952050C"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10</w:t>
            </w:r>
          </w:p>
        </w:tc>
        <w:tc>
          <w:tcPr>
            <w:tcW w:w="0" w:type="auto"/>
            <w:hideMark/>
          </w:tcPr>
          <w:p w14:paraId="7A985D32"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Formularios registrales</w:t>
            </w:r>
          </w:p>
        </w:tc>
        <w:tc>
          <w:tcPr>
            <w:tcW w:w="0" w:type="auto"/>
            <w:hideMark/>
          </w:tcPr>
          <w:p w14:paraId="423C3E13"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generar formularios registrales precargados con información del proyecto, predio, partida, sujeto pasivo y acto registral correspondiente.</w:t>
            </w:r>
          </w:p>
        </w:tc>
        <w:tc>
          <w:tcPr>
            <w:tcW w:w="0" w:type="auto"/>
            <w:hideMark/>
          </w:tcPr>
          <w:p w14:paraId="1C2642E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Datos del proyecto, predio, titular, partida registral, ubicación, área, acto registral y documentos de sustento.</w:t>
            </w:r>
          </w:p>
        </w:tc>
        <w:tc>
          <w:tcPr>
            <w:tcW w:w="0" w:type="auto"/>
            <w:hideMark/>
          </w:tcPr>
          <w:p w14:paraId="02E2911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Formulario aplicable, requisitos, validaciones, observaciones o constancia de generación.</w:t>
            </w:r>
          </w:p>
        </w:tc>
      </w:tr>
      <w:tr w:rsidR="00AE0CD6" w:rsidRPr="00AE0CD6" w14:paraId="023F1EC8" w14:textId="77777777" w:rsidTr="00AE0CD6">
        <w:trPr>
          <w:trHeight w:val="1140"/>
        </w:trPr>
        <w:tc>
          <w:tcPr>
            <w:tcW w:w="0" w:type="auto"/>
            <w:hideMark/>
          </w:tcPr>
          <w:p w14:paraId="2C6562E4"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11</w:t>
            </w:r>
          </w:p>
        </w:tc>
        <w:tc>
          <w:tcPr>
            <w:tcW w:w="0" w:type="auto"/>
            <w:hideMark/>
          </w:tcPr>
          <w:p w14:paraId="488F9500"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Alerta Registral</w:t>
            </w:r>
          </w:p>
        </w:tc>
        <w:tc>
          <w:tcPr>
            <w:tcW w:w="0" w:type="auto"/>
            <w:hideMark/>
          </w:tcPr>
          <w:p w14:paraId="4754087A"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advertir movimientos o trámites sobre partidas registrales asociadas a predios del proyecto, permitiendo alertar oportunamente posibles cambios registrales durante la Gestión de Predios.</w:t>
            </w:r>
          </w:p>
        </w:tc>
        <w:tc>
          <w:tcPr>
            <w:tcW w:w="0" w:type="auto"/>
            <w:hideMark/>
          </w:tcPr>
          <w:p w14:paraId="7DD6043D"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Número de partida, tipo de registro, oficina registral, correo institucional o usuario autorizado.</w:t>
            </w:r>
          </w:p>
        </w:tc>
        <w:tc>
          <w:tcPr>
            <w:tcW w:w="0" w:type="auto"/>
            <w:hideMark/>
          </w:tcPr>
          <w:p w14:paraId="166D82C9"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Alerta de movimiento registral, presentación de título o trámite asociado a la partida monitoreada.</w:t>
            </w:r>
          </w:p>
        </w:tc>
      </w:tr>
      <w:tr w:rsidR="00AE0CD6" w:rsidRPr="00AE0CD6" w14:paraId="1468C496" w14:textId="77777777" w:rsidTr="00AE0CD6">
        <w:trPr>
          <w:trHeight w:val="912"/>
        </w:trPr>
        <w:tc>
          <w:tcPr>
            <w:tcW w:w="0" w:type="auto"/>
            <w:hideMark/>
          </w:tcPr>
          <w:p w14:paraId="4A8C9641"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12</w:t>
            </w:r>
          </w:p>
        </w:tc>
        <w:tc>
          <w:tcPr>
            <w:tcW w:w="0" w:type="auto"/>
            <w:hideMark/>
          </w:tcPr>
          <w:p w14:paraId="0E6D0CEB"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Verificación de certificados registrales</w:t>
            </w:r>
          </w:p>
        </w:tc>
        <w:tc>
          <w:tcPr>
            <w:tcW w:w="0" w:type="auto"/>
            <w:hideMark/>
          </w:tcPr>
          <w:p w14:paraId="08953A90"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validar la autenticidad y vigencia de certificados, copias literales u otros documentos registrales incorporados al Expediente Predial Digital.</w:t>
            </w:r>
          </w:p>
        </w:tc>
        <w:tc>
          <w:tcPr>
            <w:tcW w:w="0" w:type="auto"/>
            <w:hideMark/>
          </w:tcPr>
          <w:p w14:paraId="5FF459B6"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Número de certificado, código de verificación, número de solicitud, tipo de certificado o datos del documento emitido por SUNARP.</w:t>
            </w:r>
          </w:p>
        </w:tc>
        <w:tc>
          <w:tcPr>
            <w:tcW w:w="0" w:type="auto"/>
            <w:hideMark/>
          </w:tcPr>
          <w:p w14:paraId="3C228C2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Resultado de verificación, validez del certificado, fecha de emisión, tipo de certificado, oficina registral emisora y datos asociados al documento consultado.</w:t>
            </w:r>
          </w:p>
        </w:tc>
      </w:tr>
      <w:tr w:rsidR="00AE0CD6" w:rsidRPr="00AE0CD6" w14:paraId="0756C6AB" w14:textId="77777777" w:rsidTr="00AE0CD6">
        <w:trPr>
          <w:trHeight w:val="912"/>
        </w:trPr>
        <w:tc>
          <w:tcPr>
            <w:tcW w:w="0" w:type="auto"/>
            <w:hideMark/>
          </w:tcPr>
          <w:p w14:paraId="124A7C59"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13</w:t>
            </w:r>
          </w:p>
        </w:tc>
        <w:tc>
          <w:tcPr>
            <w:tcW w:w="0" w:type="auto"/>
            <w:hideMark/>
          </w:tcPr>
          <w:p w14:paraId="4E910B3E"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Consulta de solicitudes de publicidad registral</w:t>
            </w:r>
          </w:p>
        </w:tc>
        <w:tc>
          <w:tcPr>
            <w:tcW w:w="0" w:type="auto"/>
            <w:hideMark/>
          </w:tcPr>
          <w:p w14:paraId="2D692A1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consultar el estado de solicitudes de publicidad registral requeridas para sustentar el Diagnóstico Técnico Legal o los actos vinculados a la Gestión de Predios.</w:t>
            </w:r>
          </w:p>
        </w:tc>
        <w:tc>
          <w:tcPr>
            <w:tcW w:w="0" w:type="auto"/>
            <w:hideMark/>
          </w:tcPr>
          <w:p w14:paraId="36812CD2"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Número de solicitud, año, oficina registral, tipo de publicidad solicitada y usuario autorizado.</w:t>
            </w:r>
          </w:p>
        </w:tc>
        <w:tc>
          <w:tcPr>
            <w:tcW w:w="0" w:type="auto"/>
            <w:hideMark/>
          </w:tcPr>
          <w:p w14:paraId="14A1340E"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Estado de la solicitud, fecha de atención, disponibilidad del documento, observaciones y resultado de la publicidad registral solicitada.</w:t>
            </w:r>
          </w:p>
        </w:tc>
      </w:tr>
      <w:tr w:rsidR="00AE0CD6" w:rsidRPr="00AE0CD6" w14:paraId="2278B3F3" w14:textId="77777777" w:rsidTr="00AE0CD6">
        <w:trPr>
          <w:trHeight w:val="912"/>
        </w:trPr>
        <w:tc>
          <w:tcPr>
            <w:tcW w:w="0" w:type="auto"/>
            <w:hideMark/>
          </w:tcPr>
          <w:p w14:paraId="27104FD6" w14:textId="77777777" w:rsidR="00AE0CD6" w:rsidRPr="00AE0CD6" w:rsidRDefault="00AE0CD6" w:rsidP="00AE0CD6">
            <w:pPr>
              <w:jc w:val="center"/>
              <w:rPr>
                <w:rFonts w:eastAsia="Times New Roman" w:cs="Arial"/>
                <w:color w:val="auto"/>
                <w:sz w:val="16"/>
                <w:szCs w:val="16"/>
                <w:lang w:val="es-PE" w:eastAsia="es-PE"/>
              </w:rPr>
            </w:pPr>
            <w:r w:rsidRPr="00AE0CD6">
              <w:rPr>
                <w:rFonts w:eastAsia="Times New Roman" w:cs="Arial"/>
                <w:color w:val="auto"/>
                <w:sz w:val="16"/>
                <w:szCs w:val="16"/>
                <w:lang w:val="es-PE" w:eastAsia="es-PE"/>
              </w:rPr>
              <w:t>14</w:t>
            </w:r>
          </w:p>
        </w:tc>
        <w:tc>
          <w:tcPr>
            <w:tcW w:w="0" w:type="auto"/>
            <w:hideMark/>
          </w:tcPr>
          <w:p w14:paraId="37D383AF"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Notarías / SID-SUNARP</w:t>
            </w:r>
          </w:p>
        </w:tc>
        <w:tc>
          <w:tcPr>
            <w:tcW w:w="0" w:type="auto"/>
            <w:hideMark/>
          </w:tcPr>
          <w:p w14:paraId="486F9A3B"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Serviría para articular información generada por la Plataforma con trámites que requieran intervención notarial o presentación electrónica de documentos registrales.</w:t>
            </w:r>
          </w:p>
        </w:tc>
        <w:tc>
          <w:tcPr>
            <w:tcW w:w="0" w:type="auto"/>
            <w:hideMark/>
          </w:tcPr>
          <w:p w14:paraId="7C7C921C"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Datos del predio, datos de las partes, minuta, escritura pública, parte notarial, resolución, documentos firmados digitalmente y código del Expediente Predial Digital.</w:t>
            </w:r>
          </w:p>
        </w:tc>
        <w:tc>
          <w:tcPr>
            <w:tcW w:w="0" w:type="auto"/>
            <w:hideMark/>
          </w:tcPr>
          <w:p w14:paraId="51FE43B7" w14:textId="77777777" w:rsidR="00AE0CD6" w:rsidRPr="00AE0CD6" w:rsidRDefault="00AE0CD6" w:rsidP="00AE0CD6">
            <w:pPr>
              <w:rPr>
                <w:rFonts w:eastAsia="Times New Roman" w:cs="Arial"/>
                <w:color w:val="auto"/>
                <w:sz w:val="16"/>
                <w:szCs w:val="16"/>
                <w:lang w:val="es-PE" w:eastAsia="es-PE"/>
              </w:rPr>
            </w:pPr>
            <w:r w:rsidRPr="00AE0CD6">
              <w:rPr>
                <w:rFonts w:eastAsia="Times New Roman" w:cs="Arial"/>
                <w:color w:val="auto"/>
                <w:sz w:val="16"/>
                <w:szCs w:val="16"/>
                <w:lang w:val="es-PE" w:eastAsia="es-PE"/>
              </w:rPr>
              <w:t>Constancia de presentación, número de título, datos del notario, estado del trámite, observaciones, cargo electrónico y resultado de inscripción, según corresponda.</w:t>
            </w:r>
          </w:p>
        </w:tc>
      </w:tr>
    </w:tbl>
    <w:p w14:paraId="4FA23FB4" w14:textId="77777777" w:rsidR="00AE0CD6" w:rsidRPr="00902A9B" w:rsidRDefault="00AE0CD6" w:rsidP="008A719E">
      <w:pPr>
        <w:spacing w:line="276" w:lineRule="auto"/>
        <w:jc w:val="both"/>
        <w:rPr>
          <w:rFonts w:cs="Arial"/>
          <w:sz w:val="22"/>
          <w:lang w:val="es-PE"/>
        </w:rPr>
      </w:pPr>
    </w:p>
    <w:p w14:paraId="0F3C1A2F" w14:textId="6E9BFF34" w:rsidR="008E1D3B" w:rsidRDefault="008E1D3B">
      <w:pPr>
        <w:spacing w:after="200" w:line="276" w:lineRule="auto"/>
        <w:rPr>
          <w:rFonts w:cs="Arial"/>
          <w:sz w:val="22"/>
          <w:lang w:val="es-ES"/>
        </w:rPr>
      </w:pPr>
      <w:r>
        <w:rPr>
          <w:rFonts w:cs="Arial"/>
          <w:sz w:val="22"/>
          <w:lang w:val="es-ES"/>
        </w:rPr>
        <w:br w:type="page"/>
      </w:r>
    </w:p>
    <w:p w14:paraId="7C2AAC17" w14:textId="77777777" w:rsidR="0036367C" w:rsidRDefault="00000000" w:rsidP="00F50AE1">
      <w:pPr>
        <w:spacing w:line="276" w:lineRule="auto"/>
        <w:rPr>
          <w:rFonts w:cs="Arial"/>
          <w:b/>
          <w:sz w:val="22"/>
          <w:lang w:val="es-ES"/>
        </w:rPr>
      </w:pPr>
      <w:r w:rsidRPr="00F50AE1">
        <w:rPr>
          <w:rFonts w:cs="Arial"/>
          <w:b/>
          <w:sz w:val="22"/>
          <w:lang w:val="es-ES"/>
        </w:rPr>
        <w:t>9.3.2 Validación de identidad con RENIEC y Migraciones</w:t>
      </w:r>
    </w:p>
    <w:p w14:paraId="5B290576" w14:textId="77777777" w:rsidR="008E1D3B" w:rsidRPr="00F50AE1" w:rsidRDefault="008E1D3B" w:rsidP="00F50AE1">
      <w:pPr>
        <w:spacing w:line="276" w:lineRule="auto"/>
        <w:rPr>
          <w:rFonts w:cs="Arial"/>
          <w:sz w:val="22"/>
          <w:lang w:val="es-ES"/>
        </w:rPr>
      </w:pPr>
    </w:p>
    <w:p w14:paraId="72BE0A90" w14:textId="77777777" w:rsidR="008E1D3B" w:rsidRDefault="008E1D3B" w:rsidP="008E1D3B">
      <w:pPr>
        <w:spacing w:line="276" w:lineRule="auto"/>
        <w:jc w:val="both"/>
        <w:rPr>
          <w:rFonts w:cs="Arial"/>
          <w:sz w:val="22"/>
          <w:lang w:val="es-PE"/>
        </w:rPr>
      </w:pPr>
      <w:r w:rsidRPr="008E1D3B">
        <w:rPr>
          <w:rFonts w:cs="Arial"/>
          <w:sz w:val="22"/>
          <w:lang w:val="es-PE"/>
        </w:rPr>
        <w:t xml:space="preserve">La validación con RENIEC y Migraciones permitirá verificar la identidad de personas nacionales y extranjeras que intervienen en la </w:t>
      </w:r>
      <w:r w:rsidRPr="008E1D3B">
        <w:rPr>
          <w:rFonts w:cs="Arial"/>
          <w:b/>
          <w:bCs/>
          <w:sz w:val="22"/>
          <w:lang w:val="es-PE"/>
        </w:rPr>
        <w:t>Gestión de Predios</w:t>
      </w:r>
      <w:r w:rsidRPr="008E1D3B">
        <w:rPr>
          <w:rFonts w:cs="Arial"/>
          <w:sz w:val="22"/>
          <w:lang w:val="es-PE"/>
        </w:rPr>
        <w:t>, como sujetos pasivos, representantes, herederos, apoderados, ocupantes o poseedores. Para ello, la Plataforma podrá consultar DNI, carné de extranjería, pasaporte, nombres, apellidos, vigencia del documento y, cuando corresponda, nacionalidad o condición migratoria.</w:t>
      </w:r>
    </w:p>
    <w:p w14:paraId="5617EAEA" w14:textId="77777777" w:rsidR="008E1D3B" w:rsidRPr="008E1D3B" w:rsidRDefault="008E1D3B" w:rsidP="008E1D3B">
      <w:pPr>
        <w:spacing w:line="276" w:lineRule="auto"/>
        <w:jc w:val="both"/>
        <w:rPr>
          <w:rFonts w:cs="Arial"/>
          <w:sz w:val="22"/>
          <w:lang w:val="es-PE"/>
        </w:rPr>
      </w:pPr>
    </w:p>
    <w:p w14:paraId="7FA826A0" w14:textId="77777777" w:rsidR="008E1D3B" w:rsidRPr="008E1D3B" w:rsidRDefault="008E1D3B" w:rsidP="008E1D3B">
      <w:pPr>
        <w:spacing w:line="276" w:lineRule="auto"/>
        <w:jc w:val="both"/>
        <w:rPr>
          <w:rFonts w:cs="Arial"/>
          <w:sz w:val="22"/>
          <w:lang w:val="es-PE"/>
        </w:rPr>
      </w:pPr>
      <w:r w:rsidRPr="008E1D3B">
        <w:rPr>
          <w:rFonts w:cs="Arial"/>
          <w:sz w:val="22"/>
          <w:lang w:val="es-PE"/>
        </w:rPr>
        <w:t xml:space="preserve">Como resultado, la Plataforma podrá generar alertas sobre identidad validada, identidad observada, documento no vigente, inconsistencia de datos, posible homonimia, persona fallecida o información incompleta. Estos resultados se vincularán al predio y al </w:t>
      </w:r>
      <w:r w:rsidRPr="008E1D3B">
        <w:rPr>
          <w:rFonts w:cs="Arial"/>
          <w:b/>
          <w:bCs/>
          <w:sz w:val="22"/>
          <w:lang w:val="es-PE"/>
        </w:rPr>
        <w:t>Expediente Predial Digital</w:t>
      </w:r>
      <w:r w:rsidRPr="008E1D3B">
        <w:rPr>
          <w:rFonts w:cs="Arial"/>
          <w:sz w:val="22"/>
          <w:lang w:val="es-PE"/>
        </w:rPr>
        <w:t>, conservando la trazabilidad de la consulta y aplicando criterios de minimización de datos.</w:t>
      </w:r>
    </w:p>
    <w:p w14:paraId="0E7B0EE1" w14:textId="77777777" w:rsidR="0036367C" w:rsidRPr="00F50AE1" w:rsidRDefault="0036367C" w:rsidP="00F50AE1">
      <w:pPr>
        <w:spacing w:line="276" w:lineRule="auto"/>
        <w:rPr>
          <w:rFonts w:cs="Arial"/>
          <w:sz w:val="22"/>
          <w:lang w:val="es-ES"/>
        </w:rPr>
      </w:pPr>
    </w:p>
    <w:p w14:paraId="21F68E54" w14:textId="77777777" w:rsidR="0036367C" w:rsidRPr="00F50AE1" w:rsidRDefault="00000000" w:rsidP="00F50AE1">
      <w:pPr>
        <w:spacing w:line="276" w:lineRule="auto"/>
        <w:rPr>
          <w:rFonts w:cs="Arial"/>
          <w:sz w:val="22"/>
          <w:lang w:val="es-ES"/>
        </w:rPr>
      </w:pPr>
      <w:r w:rsidRPr="00F50AE1">
        <w:rPr>
          <w:rFonts w:cs="Arial"/>
          <w:b/>
          <w:sz w:val="22"/>
          <w:lang w:val="es-ES"/>
        </w:rPr>
        <w:t>9.3.3 Interoperabilidad con SUNAT</w:t>
      </w:r>
    </w:p>
    <w:p w14:paraId="23CB0EC9" w14:textId="77777777" w:rsidR="0036367C" w:rsidRDefault="0036367C" w:rsidP="00F50AE1">
      <w:pPr>
        <w:spacing w:line="276" w:lineRule="auto"/>
        <w:rPr>
          <w:rFonts w:cs="Arial"/>
          <w:sz w:val="22"/>
          <w:lang w:val="es-ES"/>
        </w:rPr>
      </w:pPr>
    </w:p>
    <w:p w14:paraId="1FACCA8B" w14:textId="77777777" w:rsidR="008E1D3B" w:rsidRDefault="008E1D3B" w:rsidP="008E1D3B">
      <w:pPr>
        <w:spacing w:line="276" w:lineRule="auto"/>
        <w:jc w:val="both"/>
        <w:rPr>
          <w:rFonts w:cs="Arial"/>
          <w:sz w:val="22"/>
          <w:lang w:val="es-PE"/>
        </w:rPr>
      </w:pPr>
      <w:r w:rsidRPr="008E1D3B">
        <w:rPr>
          <w:rFonts w:cs="Arial"/>
          <w:sz w:val="22"/>
          <w:lang w:val="es-PE"/>
        </w:rPr>
        <w:t>La validación con SUNAT permitirá verificar si una persona jurídica o persona natural con negocio existe, si su RUC está activo, cuál es su domicilio fiscal y quién figura como representante. Esto ayudará a confirmar la información de sujetos pasivos, titulares, ocupantes, arrendadores, proveedores u otros terceros vinculados al predio.</w:t>
      </w:r>
    </w:p>
    <w:p w14:paraId="7D56AB4E" w14:textId="77777777" w:rsidR="008E1D3B" w:rsidRPr="008E1D3B" w:rsidRDefault="008E1D3B" w:rsidP="008E1D3B">
      <w:pPr>
        <w:spacing w:line="276" w:lineRule="auto"/>
        <w:rPr>
          <w:rFonts w:cs="Arial"/>
          <w:sz w:val="22"/>
          <w:lang w:val="es-PE"/>
        </w:rPr>
      </w:pPr>
    </w:p>
    <w:p w14:paraId="42E2E733" w14:textId="77777777" w:rsidR="008E1D3B" w:rsidRPr="008E1D3B" w:rsidRDefault="008E1D3B" w:rsidP="008E1D3B">
      <w:pPr>
        <w:spacing w:line="276" w:lineRule="auto"/>
        <w:jc w:val="both"/>
        <w:rPr>
          <w:rFonts w:cs="Arial"/>
          <w:sz w:val="22"/>
          <w:lang w:val="es-PE"/>
        </w:rPr>
      </w:pPr>
      <w:r w:rsidRPr="008E1D3B">
        <w:rPr>
          <w:rFonts w:cs="Arial"/>
          <w:sz w:val="22"/>
          <w:lang w:val="es-PE"/>
        </w:rPr>
        <w:t xml:space="preserve">Con esta consulta, la Plataforma podrá generar alertas sobre RUC inactivo, no habido, baja de oficio o datos inconsistentes, y vincular el resultado al predio y al </w:t>
      </w:r>
      <w:r w:rsidRPr="008E1D3B">
        <w:rPr>
          <w:rFonts w:cs="Arial"/>
          <w:b/>
          <w:bCs/>
          <w:sz w:val="22"/>
          <w:lang w:val="es-PE"/>
        </w:rPr>
        <w:t>Expediente Predial Digital</w:t>
      </w:r>
      <w:r w:rsidRPr="008E1D3B">
        <w:rPr>
          <w:rFonts w:cs="Arial"/>
          <w:sz w:val="22"/>
          <w:lang w:val="es-PE"/>
        </w:rPr>
        <w:t xml:space="preserve">. Esta información servirá como apoyo para la </w:t>
      </w:r>
      <w:r w:rsidRPr="008E1D3B">
        <w:rPr>
          <w:rFonts w:cs="Arial"/>
          <w:b/>
          <w:bCs/>
          <w:sz w:val="22"/>
          <w:lang w:val="es-PE"/>
        </w:rPr>
        <w:t>Gestión de Predios</w:t>
      </w:r>
      <w:r w:rsidRPr="008E1D3B">
        <w:rPr>
          <w:rFonts w:cs="Arial"/>
          <w:sz w:val="22"/>
          <w:lang w:val="es-PE"/>
        </w:rPr>
        <w:t>, sin reemplazar la revisión registral, la tasación ni la evaluación técnica y legal correspondiente.</w:t>
      </w:r>
    </w:p>
    <w:p w14:paraId="42B9CACE" w14:textId="77777777" w:rsidR="009837EC" w:rsidRPr="00F50AE1" w:rsidRDefault="009837EC" w:rsidP="009837EC">
      <w:pPr>
        <w:spacing w:line="276" w:lineRule="auto"/>
        <w:rPr>
          <w:rFonts w:cs="Arial"/>
          <w:sz w:val="22"/>
          <w:lang w:val="es-ES"/>
        </w:rPr>
      </w:pPr>
    </w:p>
    <w:p w14:paraId="3045FE7F" w14:textId="6B4B1378" w:rsidR="00EE6029" w:rsidRDefault="00000000" w:rsidP="00EE6029">
      <w:pPr>
        <w:spacing w:line="276" w:lineRule="auto"/>
        <w:rPr>
          <w:rFonts w:cs="Arial"/>
          <w:sz w:val="22"/>
          <w:lang w:val="es-ES"/>
        </w:rPr>
      </w:pPr>
      <w:r w:rsidRPr="00F50AE1">
        <w:rPr>
          <w:rFonts w:cs="Arial"/>
          <w:b/>
          <w:sz w:val="22"/>
          <w:lang w:val="es-ES"/>
        </w:rPr>
        <w:t>9.3.</w:t>
      </w:r>
      <w:r w:rsidR="00B3772E">
        <w:rPr>
          <w:rFonts w:cs="Arial"/>
          <w:b/>
          <w:sz w:val="22"/>
          <w:lang w:val="es-ES"/>
        </w:rPr>
        <w:t xml:space="preserve">4 </w:t>
      </w:r>
      <w:r w:rsidRPr="00F50AE1">
        <w:rPr>
          <w:rFonts w:cs="Arial"/>
          <w:b/>
          <w:sz w:val="22"/>
          <w:lang w:val="es-ES"/>
        </w:rPr>
        <w:t>Interoperabilidad con SBN para predios estatales</w:t>
      </w:r>
    </w:p>
    <w:p w14:paraId="46C9F1F1" w14:textId="77777777" w:rsidR="00EE6029" w:rsidRDefault="00EE6029" w:rsidP="00F50AE1">
      <w:pPr>
        <w:spacing w:line="276" w:lineRule="auto"/>
        <w:jc w:val="both"/>
        <w:rPr>
          <w:rFonts w:cs="Arial"/>
          <w:sz w:val="22"/>
          <w:lang w:val="es-ES"/>
        </w:rPr>
      </w:pPr>
    </w:p>
    <w:p w14:paraId="0219D3CD" w14:textId="77777777" w:rsidR="00D940D9" w:rsidRDefault="00D940D9" w:rsidP="00D940D9">
      <w:pPr>
        <w:spacing w:line="276" w:lineRule="auto"/>
        <w:jc w:val="both"/>
        <w:rPr>
          <w:rFonts w:cs="Arial"/>
          <w:sz w:val="22"/>
          <w:lang w:val="es-PE"/>
        </w:rPr>
      </w:pPr>
      <w:r w:rsidRPr="00D940D9">
        <w:rPr>
          <w:rFonts w:cs="Arial"/>
          <w:sz w:val="22"/>
          <w:lang w:val="es-PE"/>
        </w:rPr>
        <w:t>La integración con la SBN permitirá que la Plataforma Digital de Gestión de Predios consulte información oficial de predios de propiedad del Estado registrados en el SINABIP u otros servicios habilitados por la SBN. Esta consulta podrá realizarse mediante datos como el CUS, partida electrónica, código de predio, ficha SINABIP o ubicación, con la finalidad de identificar si el área requerida para el proyecto se relaciona con un predio estatal y conocer su información gráfica, alfanumérica y documental.</w:t>
      </w:r>
    </w:p>
    <w:p w14:paraId="5A223C1B" w14:textId="77777777" w:rsidR="00D940D9" w:rsidRPr="00D940D9" w:rsidRDefault="00D940D9" w:rsidP="00D940D9">
      <w:pPr>
        <w:spacing w:line="276" w:lineRule="auto"/>
        <w:jc w:val="both"/>
        <w:rPr>
          <w:rFonts w:cs="Arial"/>
          <w:sz w:val="22"/>
          <w:lang w:val="es-PE"/>
        </w:rPr>
      </w:pPr>
    </w:p>
    <w:p w14:paraId="33DF0C5B" w14:textId="77777777" w:rsidR="00D940D9" w:rsidRPr="00D940D9" w:rsidRDefault="00D940D9" w:rsidP="00D940D9">
      <w:pPr>
        <w:spacing w:line="276" w:lineRule="auto"/>
        <w:jc w:val="both"/>
        <w:rPr>
          <w:rFonts w:cs="Arial"/>
          <w:sz w:val="22"/>
          <w:lang w:val="es-PE"/>
        </w:rPr>
      </w:pPr>
      <w:r w:rsidRPr="00D940D9">
        <w:rPr>
          <w:rFonts w:cs="Arial"/>
          <w:sz w:val="22"/>
          <w:lang w:val="es-PE"/>
        </w:rPr>
        <w:t xml:space="preserve">Para el análisis espacial, la Plataforma podrá usar el polígono del área requerida en formatos espaciales, como </w:t>
      </w:r>
      <w:proofErr w:type="spellStart"/>
      <w:r w:rsidRPr="00D940D9">
        <w:rPr>
          <w:rFonts w:cs="Arial"/>
          <w:sz w:val="22"/>
          <w:lang w:val="es-PE"/>
        </w:rPr>
        <w:t>Shapefile</w:t>
      </w:r>
      <w:proofErr w:type="spellEnd"/>
      <w:r w:rsidRPr="00D940D9">
        <w:rPr>
          <w:rFonts w:cs="Arial"/>
          <w:sz w:val="22"/>
          <w:lang w:val="es-PE"/>
        </w:rPr>
        <w:t xml:space="preserve"> u otros similares, con coordenadas UTM referidas al Datum WGS84. Esta información permitirá compararlo con la información gráfica de predios estatales. Para ello, la Plataforma podrá consumir capas geoespaciales autorizadas de la SBN y realizar internamente el cruce espacial, a fin de identificar superposiciones, restricciones o condiciones relevantes para la Gestión de Predios.</w:t>
      </w:r>
    </w:p>
    <w:p w14:paraId="2A8CB841" w14:textId="77777777" w:rsidR="008E1D3B" w:rsidRDefault="008E1D3B" w:rsidP="008E1D3B">
      <w:pPr>
        <w:spacing w:line="276" w:lineRule="auto"/>
        <w:jc w:val="both"/>
        <w:rPr>
          <w:rFonts w:cs="Arial"/>
          <w:sz w:val="22"/>
          <w:lang w:val="es-PE"/>
        </w:rPr>
      </w:pPr>
    </w:p>
    <w:p w14:paraId="2C3F5C56" w14:textId="45FD3ADE" w:rsidR="005F6082" w:rsidRDefault="00B3772E" w:rsidP="005F6082">
      <w:pPr>
        <w:spacing w:line="276" w:lineRule="auto"/>
        <w:jc w:val="both"/>
        <w:rPr>
          <w:rFonts w:cs="Arial"/>
          <w:sz w:val="22"/>
          <w:lang w:val="es-PE"/>
        </w:rPr>
      </w:pPr>
      <w:r w:rsidRPr="00F50AE1">
        <w:rPr>
          <w:rFonts w:cs="Arial"/>
          <w:b/>
          <w:sz w:val="22"/>
          <w:lang w:val="es-ES"/>
        </w:rPr>
        <w:t>9.3.</w:t>
      </w:r>
      <w:r>
        <w:rPr>
          <w:rFonts w:cs="Arial"/>
          <w:b/>
          <w:sz w:val="22"/>
          <w:lang w:val="es-ES"/>
        </w:rPr>
        <w:t xml:space="preserve">5 </w:t>
      </w:r>
      <w:r w:rsidR="005F6082" w:rsidRPr="005F6082">
        <w:rPr>
          <w:rFonts w:cs="Arial"/>
          <w:b/>
          <w:bCs/>
          <w:sz w:val="22"/>
          <w:lang w:val="es-PE"/>
        </w:rPr>
        <w:t>ANA.</w:t>
      </w:r>
      <w:r w:rsidR="005F6082" w:rsidRPr="005F6082">
        <w:rPr>
          <w:rFonts w:cs="Arial"/>
          <w:sz w:val="22"/>
          <w:lang w:val="es-PE"/>
        </w:rPr>
        <w:t xml:space="preserve"> La interoperabilidad con la ANA permitirá verificar si el área requerida por el proyecto se superpone con recursos hídricos, fajas marginales, unidades hidrográficas, infraestructura hidráulica, canales, drenes, vertimientos u otros elementos vinculados a la gestión del agua. Esta información servirá para identificar restricciones hídricas que puedan incidir en la Gestión de Predios.</w:t>
      </w:r>
    </w:p>
    <w:p w14:paraId="1134AE7C" w14:textId="77777777" w:rsidR="005F6082" w:rsidRPr="005F6082" w:rsidRDefault="005F6082" w:rsidP="005F6082">
      <w:pPr>
        <w:spacing w:line="276" w:lineRule="auto"/>
        <w:jc w:val="both"/>
        <w:rPr>
          <w:rFonts w:cs="Arial"/>
          <w:sz w:val="22"/>
          <w:lang w:val="es-PE"/>
        </w:rPr>
      </w:pPr>
    </w:p>
    <w:p w14:paraId="15C60D5C" w14:textId="7564D4B8" w:rsidR="005F6082" w:rsidRDefault="00B3772E" w:rsidP="005F6082">
      <w:pPr>
        <w:spacing w:line="276" w:lineRule="auto"/>
        <w:jc w:val="both"/>
        <w:rPr>
          <w:rFonts w:cs="Arial"/>
          <w:sz w:val="22"/>
          <w:lang w:val="es-PE"/>
        </w:rPr>
      </w:pPr>
      <w:r w:rsidRPr="00F50AE1">
        <w:rPr>
          <w:rFonts w:cs="Arial"/>
          <w:b/>
          <w:sz w:val="22"/>
          <w:lang w:val="es-ES"/>
        </w:rPr>
        <w:t>9.3.</w:t>
      </w:r>
      <w:r>
        <w:rPr>
          <w:rFonts w:cs="Arial"/>
          <w:b/>
          <w:sz w:val="22"/>
          <w:lang w:val="es-ES"/>
        </w:rPr>
        <w:t>6</w:t>
      </w:r>
      <w:r>
        <w:rPr>
          <w:rFonts w:cs="Arial"/>
          <w:b/>
          <w:sz w:val="22"/>
          <w:lang w:val="es-ES"/>
        </w:rPr>
        <w:t xml:space="preserve"> </w:t>
      </w:r>
      <w:r w:rsidR="005F6082" w:rsidRPr="005F6082">
        <w:rPr>
          <w:rFonts w:cs="Arial"/>
          <w:b/>
          <w:bCs/>
          <w:sz w:val="22"/>
          <w:lang w:val="es-PE"/>
        </w:rPr>
        <w:t>SERFOR.</w:t>
      </w:r>
      <w:r w:rsidR="005F6082" w:rsidRPr="005F6082">
        <w:rPr>
          <w:rFonts w:cs="Arial"/>
          <w:sz w:val="22"/>
          <w:lang w:val="es-PE"/>
        </w:rPr>
        <w:t xml:space="preserve"> La interoperabilidad con SERFOR permitirá identificar si el área del proyecto se superpone con información forestal o de fauna silvestre, como concesiones forestales, bosques de producción permanente, unidades de aprovechamiento, bosques locales o zonificación forestal. Esto permitirá advertir posibles restricciones relacionadas con el patrimonio forestal y de fauna silvestre.</w:t>
      </w:r>
    </w:p>
    <w:p w14:paraId="0A8C1CFB" w14:textId="77777777" w:rsidR="005F6082" w:rsidRPr="005F6082" w:rsidRDefault="005F6082" w:rsidP="005F6082">
      <w:pPr>
        <w:spacing w:line="276" w:lineRule="auto"/>
        <w:jc w:val="both"/>
        <w:rPr>
          <w:rFonts w:cs="Arial"/>
          <w:sz w:val="22"/>
          <w:lang w:val="es-PE"/>
        </w:rPr>
      </w:pPr>
    </w:p>
    <w:p w14:paraId="69FB4C26" w14:textId="46D69E7C" w:rsidR="005F6082" w:rsidRDefault="00B3772E" w:rsidP="005F6082">
      <w:pPr>
        <w:spacing w:line="276" w:lineRule="auto"/>
        <w:jc w:val="both"/>
        <w:rPr>
          <w:rFonts w:cs="Arial"/>
          <w:sz w:val="22"/>
          <w:lang w:val="es-PE"/>
        </w:rPr>
      </w:pPr>
      <w:r w:rsidRPr="00F50AE1">
        <w:rPr>
          <w:rFonts w:cs="Arial"/>
          <w:b/>
          <w:sz w:val="22"/>
          <w:lang w:val="es-ES"/>
        </w:rPr>
        <w:t>9.3.</w:t>
      </w:r>
      <w:r>
        <w:rPr>
          <w:rFonts w:cs="Arial"/>
          <w:b/>
          <w:sz w:val="22"/>
          <w:lang w:val="es-ES"/>
        </w:rPr>
        <w:t>7</w:t>
      </w:r>
      <w:r>
        <w:rPr>
          <w:rFonts w:cs="Arial"/>
          <w:b/>
          <w:sz w:val="22"/>
          <w:lang w:val="es-ES"/>
        </w:rPr>
        <w:t xml:space="preserve"> </w:t>
      </w:r>
      <w:r w:rsidR="005F6082" w:rsidRPr="005F6082">
        <w:rPr>
          <w:rFonts w:cs="Arial"/>
          <w:b/>
          <w:bCs/>
          <w:sz w:val="22"/>
          <w:lang w:val="es-PE"/>
        </w:rPr>
        <w:t>SERNANP.</w:t>
      </w:r>
      <w:r w:rsidR="005F6082" w:rsidRPr="005F6082">
        <w:rPr>
          <w:rFonts w:cs="Arial"/>
          <w:sz w:val="22"/>
          <w:lang w:val="es-PE"/>
        </w:rPr>
        <w:t xml:space="preserve"> La interoperabilidad con SERNANP permitirá verificar si el polígono del proyecto se superpone con áreas naturales protegidas, áreas de conservación, zonas reservadas, zonas de amortiguamiento o zonificación interna. Esta consulta permitirá identificar la categoría del área, su administración, compatibilidad preliminar y la posible necesidad de opinión técnica o autorización sectorial.</w:t>
      </w:r>
    </w:p>
    <w:p w14:paraId="284CC81E" w14:textId="77777777" w:rsidR="005F6082" w:rsidRPr="005F6082" w:rsidRDefault="005F6082" w:rsidP="005F6082">
      <w:pPr>
        <w:spacing w:line="276" w:lineRule="auto"/>
        <w:jc w:val="both"/>
        <w:rPr>
          <w:rFonts w:cs="Arial"/>
          <w:sz w:val="22"/>
          <w:lang w:val="es-PE"/>
        </w:rPr>
      </w:pPr>
    </w:p>
    <w:p w14:paraId="68A543D1" w14:textId="6FFC95C5" w:rsidR="005F6082" w:rsidRDefault="00B3772E" w:rsidP="005F6082">
      <w:pPr>
        <w:spacing w:line="276" w:lineRule="auto"/>
        <w:jc w:val="both"/>
        <w:rPr>
          <w:rFonts w:cs="Arial"/>
          <w:sz w:val="22"/>
          <w:lang w:val="es-PE"/>
        </w:rPr>
      </w:pPr>
      <w:r w:rsidRPr="00F50AE1">
        <w:rPr>
          <w:rFonts w:cs="Arial"/>
          <w:b/>
          <w:sz w:val="22"/>
          <w:lang w:val="es-ES"/>
        </w:rPr>
        <w:t>9.3.</w:t>
      </w:r>
      <w:r>
        <w:rPr>
          <w:rFonts w:cs="Arial"/>
          <w:b/>
          <w:sz w:val="22"/>
          <w:lang w:val="es-ES"/>
        </w:rPr>
        <w:t>8</w:t>
      </w:r>
      <w:r>
        <w:rPr>
          <w:rFonts w:cs="Arial"/>
          <w:b/>
          <w:sz w:val="22"/>
          <w:lang w:val="es-ES"/>
        </w:rPr>
        <w:t xml:space="preserve"> </w:t>
      </w:r>
      <w:r w:rsidR="005F6082" w:rsidRPr="005F6082">
        <w:rPr>
          <w:rFonts w:cs="Arial"/>
          <w:b/>
          <w:bCs/>
          <w:sz w:val="22"/>
          <w:lang w:val="es-PE"/>
        </w:rPr>
        <w:t>MIDAGRI-SICAR.</w:t>
      </w:r>
      <w:r w:rsidR="005F6082" w:rsidRPr="005F6082">
        <w:rPr>
          <w:rFonts w:cs="Arial"/>
          <w:sz w:val="22"/>
          <w:lang w:val="es-PE"/>
        </w:rPr>
        <w:t xml:space="preserve"> La interoperabilidad con MIDAGRI-SICAR permitirá consultar información catastral rural vinculada al polígono del proyecto, incluyendo predios rurales, comunidades campesinas, comunidades nativas, </w:t>
      </w:r>
      <w:proofErr w:type="gramStart"/>
      <w:r w:rsidR="005F6082" w:rsidRPr="005F6082">
        <w:rPr>
          <w:rFonts w:cs="Arial"/>
          <w:sz w:val="22"/>
          <w:lang w:val="es-PE"/>
        </w:rPr>
        <w:t>predios matriz</w:t>
      </w:r>
      <w:proofErr w:type="gramEnd"/>
      <w:r w:rsidR="005F6082" w:rsidRPr="005F6082">
        <w:rPr>
          <w:rFonts w:cs="Arial"/>
          <w:sz w:val="22"/>
          <w:lang w:val="es-PE"/>
        </w:rPr>
        <w:t>, servidumbres y posibles conflictos de saneamiento físico legal. Esta información ayudará a validar la condición rural y las posibles superposiciones que afecten la Gestión de Predios.</w:t>
      </w:r>
    </w:p>
    <w:p w14:paraId="11AFC69A" w14:textId="77777777" w:rsidR="005F6082" w:rsidRPr="005F6082" w:rsidRDefault="005F6082" w:rsidP="005F6082">
      <w:pPr>
        <w:spacing w:line="276" w:lineRule="auto"/>
        <w:jc w:val="both"/>
        <w:rPr>
          <w:rFonts w:cs="Arial"/>
          <w:sz w:val="22"/>
          <w:lang w:val="es-PE"/>
        </w:rPr>
      </w:pPr>
    </w:p>
    <w:p w14:paraId="272785FD" w14:textId="002A91D9" w:rsidR="005F6082" w:rsidRPr="005F6082" w:rsidRDefault="00B3772E" w:rsidP="005F6082">
      <w:pPr>
        <w:spacing w:line="276" w:lineRule="auto"/>
        <w:jc w:val="both"/>
        <w:rPr>
          <w:rFonts w:cs="Arial"/>
          <w:sz w:val="22"/>
          <w:lang w:val="es-PE"/>
        </w:rPr>
      </w:pPr>
      <w:r w:rsidRPr="00F50AE1">
        <w:rPr>
          <w:rFonts w:cs="Arial"/>
          <w:b/>
          <w:sz w:val="22"/>
          <w:lang w:val="es-ES"/>
        </w:rPr>
        <w:t>9.3.</w:t>
      </w:r>
      <w:r>
        <w:rPr>
          <w:rFonts w:cs="Arial"/>
          <w:b/>
          <w:sz w:val="22"/>
          <w:lang w:val="es-ES"/>
        </w:rPr>
        <w:t xml:space="preserve">8 </w:t>
      </w:r>
      <w:r w:rsidR="005F6082" w:rsidRPr="005F6082">
        <w:rPr>
          <w:rFonts w:cs="Arial"/>
          <w:b/>
          <w:bCs/>
          <w:sz w:val="22"/>
          <w:lang w:val="es-PE"/>
        </w:rPr>
        <w:t xml:space="preserve">COFOPRI Geo </w:t>
      </w:r>
      <w:proofErr w:type="spellStart"/>
      <w:r w:rsidR="005F6082" w:rsidRPr="005F6082">
        <w:rPr>
          <w:rFonts w:cs="Arial"/>
          <w:b/>
          <w:bCs/>
          <w:sz w:val="22"/>
          <w:lang w:val="es-PE"/>
        </w:rPr>
        <w:t>Llaqta</w:t>
      </w:r>
      <w:proofErr w:type="spellEnd"/>
      <w:r w:rsidR="005F6082" w:rsidRPr="005F6082">
        <w:rPr>
          <w:rFonts w:cs="Arial"/>
          <w:b/>
          <w:bCs/>
          <w:sz w:val="22"/>
          <w:lang w:val="es-PE"/>
        </w:rPr>
        <w:t>.</w:t>
      </w:r>
      <w:r w:rsidR="005F6082" w:rsidRPr="005F6082">
        <w:rPr>
          <w:rFonts w:cs="Arial"/>
          <w:sz w:val="22"/>
          <w:lang w:val="es-PE"/>
        </w:rPr>
        <w:t xml:space="preserve"> La interoperabilidad con COFOPRI Geo </w:t>
      </w:r>
      <w:proofErr w:type="spellStart"/>
      <w:r w:rsidR="005F6082" w:rsidRPr="005F6082">
        <w:rPr>
          <w:rFonts w:cs="Arial"/>
          <w:sz w:val="22"/>
          <w:lang w:val="es-PE"/>
        </w:rPr>
        <w:t>Llaqta</w:t>
      </w:r>
      <w:proofErr w:type="spellEnd"/>
      <w:r w:rsidR="005F6082" w:rsidRPr="005F6082">
        <w:rPr>
          <w:rFonts w:cs="Arial"/>
          <w:sz w:val="22"/>
          <w:lang w:val="es-PE"/>
        </w:rPr>
        <w:t xml:space="preserve"> permitirá identificar si el área requerida se superpone con información de catastro urbano, lotes formalizados, predios en proceso de formalización, áreas urbanas formalizadas u otras capas generadas por COFOPRI. Esta información permitirá generar alertas para adquisición, expropiación, trato directo o saneamiento físico legal.</w:t>
      </w:r>
    </w:p>
    <w:p w14:paraId="7A90988F" w14:textId="77777777" w:rsidR="005F6082" w:rsidRPr="00C26706" w:rsidRDefault="005F6082" w:rsidP="00C26706">
      <w:pPr>
        <w:spacing w:line="276" w:lineRule="auto"/>
        <w:jc w:val="both"/>
        <w:rPr>
          <w:rFonts w:cs="Arial"/>
          <w:sz w:val="22"/>
          <w:lang w:val="es-PE"/>
        </w:rPr>
      </w:pPr>
    </w:p>
    <w:p w14:paraId="12A02E58" w14:textId="77777777" w:rsidR="0036367C" w:rsidRPr="00F50AE1" w:rsidRDefault="0036367C" w:rsidP="00F50AE1">
      <w:pPr>
        <w:spacing w:line="276" w:lineRule="auto"/>
        <w:rPr>
          <w:rFonts w:cs="Arial"/>
          <w:sz w:val="22"/>
          <w:lang w:val="es-ES"/>
        </w:rPr>
      </w:pPr>
    </w:p>
    <w:p w14:paraId="5D6F8175" w14:textId="77777777" w:rsidR="0036367C" w:rsidRPr="004E354F" w:rsidRDefault="0036367C" w:rsidP="00BE12B4">
      <w:pPr>
        <w:spacing w:line="276" w:lineRule="auto"/>
        <w:jc w:val="both"/>
        <w:rPr>
          <w:rFonts w:cs="Arial"/>
          <w:sz w:val="22"/>
          <w:lang w:val="es-ES"/>
        </w:rPr>
      </w:pPr>
    </w:p>
    <w:p w14:paraId="19C6529A" w14:textId="5AE7E0AB" w:rsidR="0036367C" w:rsidRPr="00F50AE1" w:rsidRDefault="00000000" w:rsidP="00F50AE1">
      <w:pPr>
        <w:spacing w:line="276" w:lineRule="auto"/>
        <w:rPr>
          <w:rFonts w:cs="Arial"/>
          <w:sz w:val="22"/>
          <w:lang w:val="es-ES"/>
        </w:rPr>
      </w:pPr>
      <w:proofErr w:type="gramStart"/>
      <w:r w:rsidRPr="00F50AE1">
        <w:rPr>
          <w:rFonts w:cs="Arial"/>
          <w:b/>
          <w:sz w:val="22"/>
          <w:lang w:val="es-ES"/>
        </w:rPr>
        <w:t>9.3.</w:t>
      </w:r>
      <w:r w:rsidR="00B3772E">
        <w:rPr>
          <w:rFonts w:cs="Arial"/>
          <w:b/>
          <w:sz w:val="22"/>
          <w:lang w:val="es-ES"/>
        </w:rPr>
        <w:t xml:space="preserve">9 </w:t>
      </w:r>
      <w:r w:rsidRPr="00F50AE1">
        <w:rPr>
          <w:rFonts w:cs="Arial"/>
          <w:b/>
          <w:sz w:val="22"/>
          <w:lang w:val="es-ES"/>
        </w:rPr>
        <w:t xml:space="preserve"> Interoperabilidad</w:t>
      </w:r>
      <w:proofErr w:type="gramEnd"/>
      <w:r w:rsidRPr="00F50AE1">
        <w:rPr>
          <w:rFonts w:cs="Arial"/>
          <w:b/>
          <w:sz w:val="22"/>
          <w:lang w:val="es-ES"/>
        </w:rPr>
        <w:t xml:space="preserve"> con el Ministerio de Cultura para zonas arqueológicas</w:t>
      </w:r>
    </w:p>
    <w:p w14:paraId="337AEDFA" w14:textId="77777777" w:rsidR="0055723A" w:rsidRDefault="0055723A" w:rsidP="00F50AE1">
      <w:pPr>
        <w:spacing w:line="276" w:lineRule="auto"/>
        <w:jc w:val="both"/>
        <w:rPr>
          <w:rFonts w:cs="Arial"/>
          <w:sz w:val="22"/>
          <w:lang w:val="es-ES"/>
        </w:rPr>
      </w:pPr>
    </w:p>
    <w:p w14:paraId="0ED9A646"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La integración con el Ministerio de Cultura permitirá identificar si el polígono del proyecto se superpone con bienes inmuebles prehispánicos, monumentos arqueológicos, zonas arqueológicas, </w:t>
      </w:r>
      <w:proofErr w:type="spellStart"/>
      <w:r w:rsidRPr="0055723A">
        <w:rPr>
          <w:rFonts w:cs="Arial"/>
          <w:sz w:val="22"/>
          <w:lang w:val="es-PE"/>
        </w:rPr>
        <w:t>CIRAs</w:t>
      </w:r>
      <w:proofErr w:type="spellEnd"/>
      <w:r w:rsidRPr="0055723A">
        <w:rPr>
          <w:rFonts w:cs="Arial"/>
          <w:sz w:val="22"/>
          <w:lang w:val="es-PE"/>
        </w:rPr>
        <w:t>, paisajes culturales, patrimonio arqueológico inmueble, caminos del Inca, pueblos indígenas u originarios, reservas indígenas u otras capas culturales relevantes que puedan incidir en la Gestión de Predios.</w:t>
      </w:r>
    </w:p>
    <w:p w14:paraId="70CF4F91" w14:textId="77777777" w:rsidR="0055723A" w:rsidRPr="0055723A" w:rsidRDefault="0055723A" w:rsidP="0055723A">
      <w:pPr>
        <w:spacing w:line="276" w:lineRule="auto"/>
        <w:jc w:val="both"/>
        <w:rPr>
          <w:rFonts w:cs="Arial"/>
          <w:sz w:val="22"/>
          <w:lang w:val="es-PE"/>
        </w:rPr>
      </w:pPr>
    </w:p>
    <w:p w14:paraId="4ECC7730" w14:textId="77777777" w:rsidR="0055723A" w:rsidRPr="0055723A" w:rsidRDefault="0055723A" w:rsidP="0055723A">
      <w:pPr>
        <w:spacing w:line="276" w:lineRule="auto"/>
        <w:jc w:val="both"/>
        <w:rPr>
          <w:rFonts w:cs="Arial"/>
          <w:sz w:val="22"/>
          <w:lang w:val="es-PE"/>
        </w:rPr>
      </w:pPr>
      <w:r w:rsidRPr="0055723A">
        <w:rPr>
          <w:rFonts w:cs="Arial"/>
          <w:sz w:val="22"/>
          <w:lang w:val="es-PE"/>
        </w:rPr>
        <w:t xml:space="preserve">Como datos de entrada, la plataforma utilizará el polígono del área requerida en formato SHP y coordenadas UTM referidas al Datum WGS84, según la zona correspondiente al ámbito del proyecto. Con esta información, se consultará SIGDA, </w:t>
      </w:r>
      <w:proofErr w:type="spellStart"/>
      <w:r w:rsidRPr="0055723A">
        <w:rPr>
          <w:rFonts w:cs="Arial"/>
          <w:sz w:val="22"/>
          <w:lang w:val="es-PE"/>
        </w:rPr>
        <w:t>Geoportal</w:t>
      </w:r>
      <w:proofErr w:type="spellEnd"/>
      <w:r w:rsidRPr="0055723A">
        <w:rPr>
          <w:rFonts w:cs="Arial"/>
          <w:sz w:val="22"/>
          <w:lang w:val="es-PE"/>
        </w:rPr>
        <w:t xml:space="preserve"> del Ministerio de Cultura, servicios WMS y capas descargables, según se encuentren habilitados.</w:t>
      </w:r>
    </w:p>
    <w:p w14:paraId="2F5AC43E" w14:textId="77777777" w:rsidR="0055723A" w:rsidRPr="0055723A" w:rsidRDefault="0055723A" w:rsidP="0055723A">
      <w:pPr>
        <w:spacing w:line="276" w:lineRule="auto"/>
        <w:jc w:val="both"/>
        <w:rPr>
          <w:rFonts w:cs="Arial"/>
          <w:sz w:val="22"/>
          <w:lang w:val="es-PE"/>
        </w:rPr>
      </w:pPr>
    </w:p>
    <w:p w14:paraId="15054947" w14:textId="77777777" w:rsidR="0055723A" w:rsidRDefault="0055723A" w:rsidP="0055723A">
      <w:pPr>
        <w:spacing w:line="276" w:lineRule="auto"/>
        <w:jc w:val="both"/>
        <w:rPr>
          <w:rFonts w:cs="Arial"/>
          <w:sz w:val="22"/>
          <w:lang w:val="es-PE"/>
        </w:rPr>
      </w:pPr>
      <w:r w:rsidRPr="0055723A">
        <w:rPr>
          <w:rFonts w:cs="Arial"/>
          <w:sz w:val="22"/>
          <w:lang w:val="es-PE"/>
        </w:rPr>
        <w:t xml:space="preserve">La respuesta esperada será la intersección del polígono del proyecto con monumentos arqueológicos prehispánicos, zonas arqueológicas, </w:t>
      </w:r>
      <w:proofErr w:type="spellStart"/>
      <w:r w:rsidRPr="0055723A">
        <w:rPr>
          <w:rFonts w:cs="Arial"/>
          <w:sz w:val="22"/>
          <w:lang w:val="es-PE"/>
        </w:rPr>
        <w:t>CIRAs</w:t>
      </w:r>
      <w:proofErr w:type="spellEnd"/>
      <w:r w:rsidRPr="0055723A">
        <w:rPr>
          <w:rFonts w:cs="Arial"/>
          <w:sz w:val="22"/>
          <w:lang w:val="es-PE"/>
        </w:rPr>
        <w:t xml:space="preserve">, áreas de patrimonio cultural, paisajes culturales o caminos del Inca, indicando nombre del bien, tipo de patrimonio, delimitación, estado de registro, posible área intangible o de protección y necesidad de opinión técnica, CIRA, plan de monitoreo arqueológico u otro procedimiento ante el Ministerio de Cultura, información que deberá incorporarse a la </w:t>
      </w:r>
      <w:proofErr w:type="spellStart"/>
      <w:r w:rsidRPr="0055723A">
        <w:rPr>
          <w:rFonts w:cs="Arial"/>
          <w:sz w:val="22"/>
          <w:lang w:val="es-PE"/>
        </w:rPr>
        <w:t>geodatabase</w:t>
      </w:r>
      <w:proofErr w:type="spellEnd"/>
      <w:r w:rsidRPr="0055723A">
        <w:rPr>
          <w:rFonts w:cs="Arial"/>
          <w:sz w:val="22"/>
          <w:lang w:val="es-PE"/>
        </w:rPr>
        <w:t xml:space="preserve"> corporativa y vincularse al predio correspondiente, según corresponda.</w:t>
      </w:r>
    </w:p>
    <w:p w14:paraId="0CADAAD2" w14:textId="77777777" w:rsidR="00FA617F" w:rsidRDefault="00FA617F" w:rsidP="0055723A">
      <w:pPr>
        <w:spacing w:line="276" w:lineRule="auto"/>
        <w:jc w:val="both"/>
        <w:rPr>
          <w:rFonts w:cs="Arial"/>
          <w:sz w:val="22"/>
          <w:lang w:val="es-PE"/>
        </w:rPr>
      </w:pPr>
    </w:p>
    <w:p w14:paraId="08F8AF71" w14:textId="1FCD1EF7" w:rsidR="00FA617F" w:rsidRPr="0055723A" w:rsidRDefault="00FA617F" w:rsidP="0055723A">
      <w:pPr>
        <w:spacing w:line="276" w:lineRule="auto"/>
        <w:jc w:val="both"/>
        <w:rPr>
          <w:rFonts w:cs="Arial"/>
          <w:sz w:val="22"/>
          <w:lang w:val="es-PE"/>
        </w:rPr>
      </w:pPr>
      <w:r w:rsidRPr="004600DF">
        <w:rPr>
          <w:rFonts w:cs="Arial"/>
          <w:sz w:val="22"/>
          <w:highlight w:val="yellow"/>
          <w:lang w:val="es-PE"/>
        </w:rPr>
        <w:t>MEF falta</w:t>
      </w:r>
    </w:p>
    <w:p w14:paraId="072CF553" w14:textId="77777777" w:rsidR="00B4524C" w:rsidRDefault="00B4524C" w:rsidP="00722760">
      <w:pPr>
        <w:pStyle w:val="Listaconvietas"/>
        <w:numPr>
          <w:ilvl w:val="0"/>
          <w:numId w:val="0"/>
        </w:numPr>
        <w:spacing w:line="276" w:lineRule="auto"/>
        <w:jc w:val="both"/>
        <w:rPr>
          <w:rFonts w:cs="Arial"/>
          <w:sz w:val="22"/>
          <w:lang w:val="es-ES"/>
        </w:rPr>
      </w:pPr>
    </w:p>
    <w:p w14:paraId="1E053BED" w14:textId="739FC5B5" w:rsidR="00454270" w:rsidRDefault="00454270" w:rsidP="003B370F">
      <w:pPr>
        <w:pStyle w:val="Listaconvietas"/>
        <w:numPr>
          <w:ilvl w:val="0"/>
          <w:numId w:val="0"/>
        </w:numPr>
        <w:spacing w:line="276" w:lineRule="auto"/>
        <w:ind w:left="360" w:hanging="360"/>
        <w:jc w:val="both"/>
        <w:rPr>
          <w:rFonts w:cs="Arial"/>
          <w:b/>
          <w:bCs/>
          <w:sz w:val="22"/>
          <w:lang w:val="es-PE"/>
        </w:rPr>
      </w:pPr>
      <w:r w:rsidRPr="00F50AE1">
        <w:rPr>
          <w:rFonts w:cs="Arial"/>
          <w:sz w:val="22"/>
          <w:lang w:val="es-PE"/>
        </w:rPr>
        <w:t xml:space="preserve">Prototipo referencial: </w:t>
      </w:r>
      <w:r w:rsidRPr="00F50AE1">
        <w:rPr>
          <w:rFonts w:cs="Arial"/>
          <w:b/>
          <w:bCs/>
          <w:sz w:val="22"/>
          <w:lang w:val="es-PE"/>
        </w:rPr>
        <w:t>M</w:t>
      </w:r>
      <w:r w:rsidR="007E3DF2" w:rsidRPr="00F50AE1">
        <w:rPr>
          <w:rFonts w:cs="Arial"/>
          <w:b/>
          <w:bCs/>
          <w:sz w:val="22"/>
          <w:lang w:val="es-PE"/>
        </w:rPr>
        <w:t>ó</w:t>
      </w:r>
      <w:r w:rsidRPr="00F50AE1">
        <w:rPr>
          <w:rFonts w:cs="Arial"/>
          <w:b/>
          <w:bCs/>
          <w:sz w:val="22"/>
          <w:lang w:val="es-PE"/>
        </w:rPr>
        <w:t>dulo de interopera</w:t>
      </w:r>
      <w:r w:rsidR="00413781">
        <w:rPr>
          <w:rFonts w:cs="Arial"/>
          <w:b/>
          <w:bCs/>
          <w:sz w:val="22"/>
          <w:lang w:val="es-PE"/>
        </w:rPr>
        <w:t>bilidad</w:t>
      </w:r>
    </w:p>
    <w:p w14:paraId="20EB3640"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0E63AFBB"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08C3581C"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53536111" w14:textId="02CA96EA" w:rsidR="00314BF0" w:rsidRDefault="00314BF0" w:rsidP="003B370F">
      <w:pPr>
        <w:pStyle w:val="Listaconvietas"/>
        <w:numPr>
          <w:ilvl w:val="0"/>
          <w:numId w:val="0"/>
        </w:numPr>
        <w:spacing w:line="276" w:lineRule="auto"/>
        <w:ind w:left="360" w:hanging="360"/>
        <w:jc w:val="both"/>
        <w:rPr>
          <w:rFonts w:cs="Arial"/>
          <w:b/>
          <w:bCs/>
          <w:sz w:val="22"/>
          <w:lang w:val="es-PE"/>
        </w:rPr>
      </w:pPr>
      <w:r>
        <w:rPr>
          <w:rFonts w:cs="Arial"/>
          <w:b/>
          <w:bCs/>
          <w:sz w:val="22"/>
          <w:lang w:val="es-PE"/>
        </w:rPr>
        <w:t xml:space="preserve">PARALEAMENTE AL PAGO, </w:t>
      </w:r>
    </w:p>
    <w:p w14:paraId="4EEA86B6" w14:textId="051F02C5" w:rsidR="00314BF0" w:rsidRDefault="00314BF0" w:rsidP="003B370F">
      <w:pPr>
        <w:pStyle w:val="Listaconvietas"/>
        <w:numPr>
          <w:ilvl w:val="0"/>
          <w:numId w:val="0"/>
        </w:numPr>
        <w:spacing w:line="276" w:lineRule="auto"/>
        <w:ind w:left="360" w:hanging="360"/>
        <w:jc w:val="both"/>
        <w:rPr>
          <w:rFonts w:cs="Arial"/>
          <w:b/>
          <w:bCs/>
          <w:sz w:val="22"/>
          <w:lang w:val="es-PE"/>
        </w:rPr>
      </w:pPr>
    </w:p>
    <w:p w14:paraId="277C89D9" w14:textId="2430E4E9" w:rsidR="00314BF0" w:rsidRDefault="00314BF0" w:rsidP="003B370F">
      <w:pPr>
        <w:pStyle w:val="Listaconvietas"/>
        <w:numPr>
          <w:ilvl w:val="0"/>
          <w:numId w:val="0"/>
        </w:numPr>
        <w:spacing w:line="276" w:lineRule="auto"/>
        <w:ind w:left="360" w:hanging="360"/>
        <w:jc w:val="both"/>
        <w:rPr>
          <w:rFonts w:cs="Arial"/>
          <w:b/>
          <w:bCs/>
          <w:sz w:val="22"/>
          <w:lang w:val="es-PE"/>
        </w:rPr>
      </w:pPr>
      <w:r>
        <w:rPr>
          <w:rFonts w:cs="Arial"/>
          <w:b/>
          <w:bCs/>
          <w:sz w:val="22"/>
          <w:lang w:val="es-PE"/>
        </w:rPr>
        <w:t xml:space="preserve">INSCRIBIR A NOMBRE DEL </w:t>
      </w:r>
    </w:p>
    <w:p w14:paraId="446FD12C"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0D59A7F9"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2DDBB43B" w14:textId="77777777" w:rsidR="00314BF0" w:rsidRDefault="00314BF0" w:rsidP="003B370F">
      <w:pPr>
        <w:pStyle w:val="Listaconvietas"/>
        <w:numPr>
          <w:ilvl w:val="0"/>
          <w:numId w:val="0"/>
        </w:numPr>
        <w:spacing w:line="276" w:lineRule="auto"/>
        <w:ind w:left="360" w:hanging="360"/>
        <w:jc w:val="both"/>
        <w:rPr>
          <w:rFonts w:cs="Arial"/>
          <w:b/>
          <w:bCs/>
          <w:sz w:val="22"/>
          <w:lang w:val="es-PE"/>
        </w:rPr>
      </w:pPr>
    </w:p>
    <w:p w14:paraId="6097597D" w14:textId="611B966D" w:rsidR="00B4524C" w:rsidRPr="003B370F" w:rsidRDefault="00314BF0" w:rsidP="003B370F">
      <w:pPr>
        <w:pStyle w:val="Listaconvietas"/>
        <w:numPr>
          <w:ilvl w:val="0"/>
          <w:numId w:val="0"/>
        </w:numPr>
        <w:spacing w:line="276" w:lineRule="auto"/>
        <w:ind w:left="360" w:hanging="360"/>
        <w:jc w:val="both"/>
        <w:rPr>
          <w:rFonts w:cs="Arial"/>
          <w:sz w:val="22"/>
          <w:lang w:val="es-PE"/>
        </w:rPr>
      </w:pPr>
      <w:proofErr w:type="gramStart"/>
      <w:r>
        <w:rPr>
          <w:rFonts w:cs="Arial"/>
          <w:sz w:val="22"/>
          <w:lang w:val="es-PE"/>
        </w:rPr>
        <w:t>STRL  -</w:t>
      </w:r>
      <w:proofErr w:type="gramEnd"/>
      <w:r>
        <w:rPr>
          <w:rFonts w:cs="Arial"/>
          <w:sz w:val="22"/>
          <w:lang w:val="es-PE"/>
        </w:rPr>
        <w:t xml:space="preserve"> </w:t>
      </w:r>
    </w:p>
    <w:p w14:paraId="1A63A595" w14:textId="71E8B20F" w:rsidR="00454270" w:rsidRDefault="00B5024E" w:rsidP="00F50AE1">
      <w:pPr>
        <w:pStyle w:val="Listaconvietas"/>
        <w:numPr>
          <w:ilvl w:val="0"/>
          <w:numId w:val="0"/>
        </w:numPr>
        <w:spacing w:line="276" w:lineRule="auto"/>
        <w:ind w:left="360" w:hanging="360"/>
        <w:jc w:val="both"/>
        <w:rPr>
          <w:rFonts w:cs="Arial"/>
          <w:sz w:val="22"/>
        </w:rPr>
      </w:pPr>
      <w:r>
        <w:rPr>
          <w:rFonts w:cs="Arial"/>
          <w:noProof/>
          <w:sz w:val="22"/>
        </w:rPr>
        <mc:AlternateContent>
          <mc:Choice Requires="wps">
            <w:drawing>
              <wp:anchor distT="0" distB="0" distL="114300" distR="114300" simplePos="0" relativeHeight="251666432" behindDoc="0" locked="0" layoutInCell="1" allowOverlap="1" wp14:anchorId="0703E48F" wp14:editId="61074536">
                <wp:simplePos x="0" y="0"/>
                <wp:positionH relativeFrom="column">
                  <wp:posOffset>1293495</wp:posOffset>
                </wp:positionH>
                <wp:positionV relativeFrom="paragraph">
                  <wp:posOffset>3763645</wp:posOffset>
                </wp:positionV>
                <wp:extent cx="914400" cy="274320"/>
                <wp:effectExtent l="0" t="0" r="18415" b="11430"/>
                <wp:wrapNone/>
                <wp:docPr id="1478314664" name="Cuadro de texto 2"/>
                <wp:cNvGraphicFramePr/>
                <a:graphic xmlns:a="http://schemas.openxmlformats.org/drawingml/2006/main">
                  <a:graphicData uri="http://schemas.microsoft.com/office/word/2010/wordprocessingShape">
                    <wps:wsp>
                      <wps:cNvSpPr txBox="1"/>
                      <wps:spPr>
                        <a:xfrm>
                          <a:off x="0" y="0"/>
                          <a:ext cx="914400" cy="274320"/>
                        </a:xfrm>
                        <a:prstGeom prst="rect">
                          <a:avLst/>
                        </a:prstGeom>
                        <a:solidFill>
                          <a:schemeClr val="lt1"/>
                        </a:solidFill>
                        <a:ln w="6350">
                          <a:solidFill>
                            <a:prstClr val="black"/>
                          </a:solidFill>
                        </a:ln>
                      </wps:spPr>
                      <wps:txbx>
                        <w:txbxContent>
                          <w:p w14:paraId="5E7B5C26" w14:textId="0B422CDE" w:rsidR="00B5024E" w:rsidRPr="00B5024E" w:rsidRDefault="00B5024E">
                            <w:pPr>
                              <w:rPr>
                                <w:lang w:val="es-PE"/>
                              </w:rPr>
                            </w:pPr>
                            <w:r>
                              <w:rPr>
                                <w:lang w:val="es-PE"/>
                              </w:rPr>
                              <w:t>MEF</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0703E48F" id="_x0000_t202" coordsize="21600,21600" o:spt="202" path="m,l,21600r21600,l21600,xe">
                <v:stroke joinstyle="miter"/>
                <v:path gradientshapeok="t" o:connecttype="rect"/>
              </v:shapetype>
              <v:shape id="Cuadro de texto 2" o:spid="_x0000_s1026" type="#_x0000_t202" style="position:absolute;left:0;text-align:left;margin-left:101.85pt;margin-top:296.35pt;width:1in;height:21.6pt;z-index:25166643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" fillcolor="white [3201]" strokeweight=".5pt">
                <v:textbox>
                  <w:txbxContent>
                    <w:p w14:paraId="5E7B5C26" w14:textId="0B422CDE" w:rsidR="00B5024E" w:rsidRPr="00B5024E" w:rsidRDefault="00B5024E">
                      <w:pPr>
                        <w:rPr>
                          <w:lang w:val="es-PE"/>
                        </w:rPr>
                      </w:pPr>
                      <w:r>
                        <w:rPr>
                          <w:lang w:val="es-PE"/>
                        </w:rPr>
                        <w:t>MEF</w:t>
                      </w:r>
                    </w:p>
                  </w:txbxContent>
                </v:textbox>
              </v:shape>
            </w:pict>
          </mc:Fallback>
        </mc:AlternateContent>
      </w:r>
      <w:r>
        <w:rPr>
          <w:rFonts w:cs="Arial"/>
          <w:noProof/>
          <w:sz w:val="22"/>
        </w:rPr>
        <mc:AlternateContent>
          <mc:Choice Requires="wps">
            <w:drawing>
              <wp:anchor distT="0" distB="0" distL="114300" distR="114300" simplePos="0" relativeHeight="251665408" behindDoc="0" locked="0" layoutInCell="1" allowOverlap="1" wp14:anchorId="64A08383" wp14:editId="201F5969">
                <wp:simplePos x="0" y="0"/>
                <wp:positionH relativeFrom="column">
                  <wp:posOffset>1132840</wp:posOffset>
                </wp:positionH>
                <wp:positionV relativeFrom="paragraph">
                  <wp:posOffset>3668395</wp:posOffset>
                </wp:positionV>
                <wp:extent cx="45719" cy="339090"/>
                <wp:effectExtent l="57150" t="19050" r="69215" b="99060"/>
                <wp:wrapNone/>
                <wp:docPr id="1565078648"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E1B80D6" id="Rectángulo 1" o:spid="_x0000_s1026" style="position:absolute;margin-left:89.2pt;margin-top:288.85pt;width:3.6pt;height:26.7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EqAHnb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3360" behindDoc="0" locked="0" layoutInCell="1" allowOverlap="1" wp14:anchorId="7C939563" wp14:editId="5DED0065">
                <wp:simplePos x="0" y="0"/>
                <wp:positionH relativeFrom="column">
                  <wp:posOffset>1125855</wp:posOffset>
                </wp:positionH>
                <wp:positionV relativeFrom="paragraph">
                  <wp:posOffset>2613025</wp:posOffset>
                </wp:positionV>
                <wp:extent cx="45719" cy="339090"/>
                <wp:effectExtent l="57150" t="19050" r="69215" b="99060"/>
                <wp:wrapNone/>
                <wp:docPr id="814516859"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DBFF34" id="Rectángulo 1" o:spid="_x0000_s1026" style="position:absolute;margin-left:88.65pt;margin-top:205.75pt;width:3.6pt;height:26.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61312" behindDoc="0" locked="0" layoutInCell="1" allowOverlap="1" wp14:anchorId="3C9AB2E9" wp14:editId="183E5A05">
                <wp:simplePos x="0" y="0"/>
                <wp:positionH relativeFrom="column">
                  <wp:posOffset>1125855</wp:posOffset>
                </wp:positionH>
                <wp:positionV relativeFrom="paragraph">
                  <wp:posOffset>1988185</wp:posOffset>
                </wp:positionV>
                <wp:extent cx="45719" cy="339090"/>
                <wp:effectExtent l="57150" t="19050" r="69215" b="99060"/>
                <wp:wrapNone/>
                <wp:docPr id="1906455843"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5974156" id="Rectángulo 1" o:spid="_x0000_s1026" style="position:absolute;margin-left:88.65pt;margin-top:156.55pt;width:3.6pt;height:26.7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" fillcolor="#4f81bd [3204]" strokecolor="#4579b8 [3044]">
                <v:fill color2="#a7bfde [1620]" rotate="t" angle="180" focus="100%" type="gradient">
                  <o:fill v:ext="view" type="gradientUnscaled"/>
                </v:fill>
                <v:shadow on="t" color="black" opacity="22937f" origin=",.5" offset="0,.63889mm"/>
              </v:rect>
            </w:pict>
          </mc:Fallback>
        </mc:AlternateContent>
      </w:r>
      <w:r w:rsidR="00566F09">
        <w:rPr>
          <w:rFonts w:cs="Arial"/>
          <w:noProof/>
          <w:sz w:val="22"/>
        </w:rPr>
        <mc:AlternateContent>
          <mc:Choice Requires="wps">
            <w:drawing>
              <wp:anchor distT="0" distB="0" distL="114300" distR="114300" simplePos="0" relativeHeight="251659264" behindDoc="0" locked="0" layoutInCell="1" allowOverlap="1" wp14:anchorId="4B20FF4A" wp14:editId="18FFEE45">
                <wp:simplePos x="0" y="0"/>
                <wp:positionH relativeFrom="column">
                  <wp:posOffset>1125855</wp:posOffset>
                </wp:positionH>
                <wp:positionV relativeFrom="paragraph">
                  <wp:posOffset>1630045</wp:posOffset>
                </wp:positionV>
                <wp:extent cx="45719" cy="339090"/>
                <wp:effectExtent l="57150" t="19050" r="69215" b="99060"/>
                <wp:wrapNone/>
                <wp:docPr id="1647984286" name="Rectángulo 1"/>
                <wp:cNvGraphicFramePr/>
                <a:graphic xmlns:a="http://schemas.openxmlformats.org/drawingml/2006/main">
                  <a:graphicData uri="http://schemas.microsoft.com/office/word/2010/wordprocessingShape">
                    <wps:wsp>
                      <wps:cNvSpPr/>
                      <wps:spPr>
                        <a:xfrm>
                          <a:off x="0" y="0"/>
                          <a:ext cx="45719" cy="339090"/>
                        </a:xfrm>
                        <a:prstGeom prst="rect">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1DA6434" id="Rectángulo 1" o:spid="_x0000_s1026" style="position:absolute;margin-left:88.65pt;margin-top:128.35pt;width:3.6pt;height:26.7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" fillcolor="#4f81bd [3204]" strokecolor="#4579b8 [3044]">
                <v:fill color2="#a7bfde [1620]" rotate="t" angle="180" focus="100%" type="gradient">
                  <o:fill v:ext="view" type="gradientUnscaled"/>
                </v:fill>
                <v:shadow on="t" color="black" opacity="22937f" origin=",.5" offset="0,.63889mm"/>
              </v:rect>
            </w:pict>
          </mc:Fallback>
        </mc:AlternateContent>
      </w:r>
      <w:r w:rsidR="00454270" w:rsidRPr="00F50AE1">
        <w:rPr>
          <w:rFonts w:cs="Arial"/>
          <w:noProof/>
          <w:sz w:val="22"/>
        </w:rPr>
        <w:drawing>
          <wp:inline distT="0" distB="0" distL="0" distR="0" wp14:anchorId="2429B7BB" wp14:editId="53277950">
            <wp:extent cx="6343650" cy="4229099"/>
            <wp:effectExtent l="0" t="0" r="0" b="635"/>
            <wp:docPr id="115927810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70630" cy="4247086"/>
                    </a:xfrm>
                    <a:prstGeom prst="rect">
                      <a:avLst/>
                    </a:prstGeom>
                    <a:noFill/>
                  </pic:spPr>
                </pic:pic>
              </a:graphicData>
            </a:graphic>
          </wp:inline>
        </w:drawing>
      </w:r>
    </w:p>
    <w:p w14:paraId="764497CD" w14:textId="77777777" w:rsidR="004233A4" w:rsidRDefault="004233A4" w:rsidP="00F50AE1">
      <w:pPr>
        <w:pStyle w:val="Listaconvietas"/>
        <w:numPr>
          <w:ilvl w:val="0"/>
          <w:numId w:val="0"/>
        </w:numPr>
        <w:spacing w:line="276" w:lineRule="auto"/>
        <w:ind w:left="360" w:hanging="360"/>
        <w:jc w:val="both"/>
        <w:rPr>
          <w:rFonts w:cs="Arial"/>
          <w:sz w:val="22"/>
        </w:rPr>
      </w:pPr>
    </w:p>
    <w:p w14:paraId="47E8E406" w14:textId="62D7ADC3" w:rsidR="00951E00" w:rsidRPr="00951E00" w:rsidRDefault="00951E00" w:rsidP="00951E00">
      <w:pPr>
        <w:jc w:val="both"/>
        <w:rPr>
          <w:rFonts w:eastAsia="Times New Roman" w:cs="Arial"/>
          <w:sz w:val="18"/>
          <w:szCs w:val="18"/>
          <w:lang w:val="es-PE" w:eastAsia="es-PE"/>
        </w:rPr>
      </w:pPr>
    </w:p>
    <w:p w14:paraId="207D1C49" w14:textId="77777777" w:rsidR="004233A4" w:rsidRPr="007B5ABE" w:rsidRDefault="004233A4" w:rsidP="00F50AE1">
      <w:pPr>
        <w:pStyle w:val="Listaconvietas"/>
        <w:numPr>
          <w:ilvl w:val="0"/>
          <w:numId w:val="0"/>
        </w:numPr>
        <w:spacing w:line="276" w:lineRule="auto"/>
        <w:ind w:left="360" w:hanging="360"/>
        <w:jc w:val="both"/>
        <w:rPr>
          <w:rFonts w:cs="Arial"/>
          <w:color w:val="0070C0"/>
          <w:sz w:val="22"/>
          <w:lang w:val="es-PE"/>
        </w:rPr>
      </w:pPr>
    </w:p>
    <w:sectPr w:rsidR="004233A4" w:rsidRPr="007B5ABE" w:rsidSect="00034616">
      <w:pgSz w:w="12240" w:h="15840"/>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DD74A0" w14:textId="77777777" w:rsidR="00341671" w:rsidRDefault="00341671" w:rsidP="006F65EF">
      <w:r>
        <w:separator/>
      </w:r>
    </w:p>
  </w:endnote>
  <w:endnote w:type="continuationSeparator" w:id="0">
    <w:p w14:paraId="0D8AB7D5" w14:textId="77777777" w:rsidR="00341671" w:rsidRDefault="00341671" w:rsidP="006F65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52D54" w14:textId="77777777" w:rsidR="00341671" w:rsidRDefault="00341671" w:rsidP="006F65EF">
      <w:r>
        <w:separator/>
      </w:r>
    </w:p>
  </w:footnote>
  <w:footnote w:type="continuationSeparator" w:id="0">
    <w:p w14:paraId="58842E17" w14:textId="77777777" w:rsidR="00341671" w:rsidRDefault="00341671" w:rsidP="006F65EF">
      <w:r>
        <w:continuationSeparator/>
      </w:r>
    </w:p>
  </w:footnote>
  <w:footnote w:id="1">
    <w:p w14:paraId="26E25003" w14:textId="130A1792" w:rsidR="003574B2" w:rsidRPr="00E54F3E" w:rsidRDefault="003574B2">
      <w:pPr>
        <w:pStyle w:val="Textonotapie"/>
        <w:rPr>
          <w:sz w:val="16"/>
          <w:szCs w:val="16"/>
          <w:lang w:val="es-PE"/>
        </w:rPr>
      </w:pPr>
      <w:r w:rsidRPr="00E54F3E">
        <w:rPr>
          <w:rStyle w:val="Refdenotaalpie"/>
          <w:sz w:val="16"/>
          <w:szCs w:val="16"/>
          <w:lang w:val="es-PE"/>
        </w:rPr>
        <w:footnoteRef/>
      </w:r>
      <w:r w:rsidRPr="00E54F3E">
        <w:rPr>
          <w:sz w:val="16"/>
          <w:szCs w:val="16"/>
          <w:lang w:val="es-PE"/>
        </w:rPr>
        <w:t xml:space="preserve"> Un </w:t>
      </w:r>
      <w:r w:rsidRPr="00E54F3E">
        <w:rPr>
          <w:b/>
          <w:bCs/>
          <w:sz w:val="16"/>
          <w:szCs w:val="16"/>
          <w:lang w:val="es-PE"/>
        </w:rPr>
        <w:t>middleware</w:t>
      </w:r>
      <w:r w:rsidRPr="00E54F3E">
        <w:rPr>
          <w:sz w:val="16"/>
          <w:szCs w:val="16"/>
          <w:lang w:val="es-PE"/>
        </w:rPr>
        <w:t xml:space="preserve"> es un software intermediario que permite la comunicación e intercambio de información entre diferentes sistemas, aplicaciones o servicios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9B9AF928"/>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0795E17"/>
    <w:multiLevelType w:val="hybridMultilevel"/>
    <w:tmpl w:val="CE8439C0"/>
    <w:lvl w:ilvl="0" w:tplc="0409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E301E1A"/>
    <w:multiLevelType w:val="hybridMultilevel"/>
    <w:tmpl w:val="102607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4CB87F0A"/>
    <w:multiLevelType w:val="hybridMultilevel"/>
    <w:tmpl w:val="DACC6782"/>
    <w:lvl w:ilvl="0" w:tplc="A350D8EA">
      <w:numFmt w:val="bullet"/>
      <w:lvlText w:val=""/>
      <w:lvlJc w:val="left"/>
      <w:pPr>
        <w:ind w:left="1080" w:hanging="360"/>
      </w:pPr>
      <w:rPr>
        <w:rFonts w:ascii="Arial" w:eastAsiaTheme="minorEastAsia" w:hAnsi="Arial" w:cs="Arial" w:hint="default"/>
      </w:rPr>
    </w:lvl>
    <w:lvl w:ilvl="1" w:tplc="0C0A0003">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50C72AFA"/>
    <w:multiLevelType w:val="multilevel"/>
    <w:tmpl w:val="E38C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7739FF"/>
    <w:multiLevelType w:val="hybridMultilevel"/>
    <w:tmpl w:val="00A4D76A"/>
    <w:lvl w:ilvl="0" w:tplc="A350D8EA">
      <w:numFmt w:val="bullet"/>
      <w:lvlText w:val=""/>
      <w:lvlJc w:val="left"/>
      <w:pPr>
        <w:ind w:left="720" w:hanging="360"/>
      </w:pPr>
      <w:rPr>
        <w:rFonts w:ascii="Arial" w:eastAsiaTheme="minorEastAsia"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731834C2"/>
    <w:multiLevelType w:val="multilevel"/>
    <w:tmpl w:val="50F6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1595044">
    <w:abstractNumId w:val="8"/>
  </w:num>
  <w:num w:numId="2" w16cid:durableId="1054499891">
    <w:abstractNumId w:val="6"/>
  </w:num>
  <w:num w:numId="3" w16cid:durableId="779303439">
    <w:abstractNumId w:val="5"/>
  </w:num>
  <w:num w:numId="4" w16cid:durableId="527764512">
    <w:abstractNumId w:val="4"/>
  </w:num>
  <w:num w:numId="5" w16cid:durableId="724068292">
    <w:abstractNumId w:val="7"/>
  </w:num>
  <w:num w:numId="6" w16cid:durableId="1221287309">
    <w:abstractNumId w:val="3"/>
  </w:num>
  <w:num w:numId="7" w16cid:durableId="1258753539">
    <w:abstractNumId w:val="2"/>
  </w:num>
  <w:num w:numId="8" w16cid:durableId="490416049">
    <w:abstractNumId w:val="1"/>
  </w:num>
  <w:num w:numId="9" w16cid:durableId="1874731918">
    <w:abstractNumId w:val="0"/>
  </w:num>
  <w:num w:numId="10" w16cid:durableId="2108883904">
    <w:abstractNumId w:val="14"/>
  </w:num>
  <w:num w:numId="11" w16cid:durableId="2054572736">
    <w:abstractNumId w:val="12"/>
  </w:num>
  <w:num w:numId="12" w16cid:durableId="133523560">
    <w:abstractNumId w:val="10"/>
  </w:num>
  <w:num w:numId="13" w16cid:durableId="127862622">
    <w:abstractNumId w:val="13"/>
  </w:num>
  <w:num w:numId="14" w16cid:durableId="1940018513">
    <w:abstractNumId w:val="11"/>
  </w:num>
  <w:num w:numId="15" w16cid:durableId="25074244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03F1"/>
    <w:rsid w:val="00090038"/>
    <w:rsid w:val="00095100"/>
    <w:rsid w:val="000C53F4"/>
    <w:rsid w:val="000D3C3D"/>
    <w:rsid w:val="000F628A"/>
    <w:rsid w:val="00116E2B"/>
    <w:rsid w:val="0015074B"/>
    <w:rsid w:val="00192276"/>
    <w:rsid w:val="00197721"/>
    <w:rsid w:val="001C4367"/>
    <w:rsid w:val="001E6A54"/>
    <w:rsid w:val="001F7E2B"/>
    <w:rsid w:val="00246D7F"/>
    <w:rsid w:val="002941C5"/>
    <w:rsid w:val="0029639D"/>
    <w:rsid w:val="002B7871"/>
    <w:rsid w:val="002E283E"/>
    <w:rsid w:val="002F5404"/>
    <w:rsid w:val="003109C9"/>
    <w:rsid w:val="00314BF0"/>
    <w:rsid w:val="0032527A"/>
    <w:rsid w:val="00326F90"/>
    <w:rsid w:val="00341671"/>
    <w:rsid w:val="00350B8A"/>
    <w:rsid w:val="003548ED"/>
    <w:rsid w:val="003574B2"/>
    <w:rsid w:val="0036367C"/>
    <w:rsid w:val="00364164"/>
    <w:rsid w:val="003874A3"/>
    <w:rsid w:val="00396C21"/>
    <w:rsid w:val="003B2880"/>
    <w:rsid w:val="003B370F"/>
    <w:rsid w:val="003C6A51"/>
    <w:rsid w:val="0040296C"/>
    <w:rsid w:val="00413781"/>
    <w:rsid w:val="00414011"/>
    <w:rsid w:val="004165CB"/>
    <w:rsid w:val="004233A4"/>
    <w:rsid w:val="00454270"/>
    <w:rsid w:val="004600DF"/>
    <w:rsid w:val="00487AA4"/>
    <w:rsid w:val="004A3D57"/>
    <w:rsid w:val="004A6DF4"/>
    <w:rsid w:val="004B3516"/>
    <w:rsid w:val="004C2973"/>
    <w:rsid w:val="004E354F"/>
    <w:rsid w:val="00512011"/>
    <w:rsid w:val="0053475D"/>
    <w:rsid w:val="0055723A"/>
    <w:rsid w:val="00566F09"/>
    <w:rsid w:val="005704E1"/>
    <w:rsid w:val="005C46C3"/>
    <w:rsid w:val="005D2701"/>
    <w:rsid w:val="005F6082"/>
    <w:rsid w:val="005F6EAC"/>
    <w:rsid w:val="00602EDE"/>
    <w:rsid w:val="0061000E"/>
    <w:rsid w:val="00622686"/>
    <w:rsid w:val="00652109"/>
    <w:rsid w:val="006524B2"/>
    <w:rsid w:val="006A4164"/>
    <w:rsid w:val="006A7A81"/>
    <w:rsid w:val="006D7951"/>
    <w:rsid w:val="006E1745"/>
    <w:rsid w:val="006F5ED9"/>
    <w:rsid w:val="006F65EF"/>
    <w:rsid w:val="00722760"/>
    <w:rsid w:val="00740FBA"/>
    <w:rsid w:val="00745170"/>
    <w:rsid w:val="007478BE"/>
    <w:rsid w:val="007B20F1"/>
    <w:rsid w:val="007B5ABE"/>
    <w:rsid w:val="007B5C52"/>
    <w:rsid w:val="007C7999"/>
    <w:rsid w:val="007E3DF2"/>
    <w:rsid w:val="008055DF"/>
    <w:rsid w:val="008060E6"/>
    <w:rsid w:val="00865504"/>
    <w:rsid w:val="00873814"/>
    <w:rsid w:val="008A719E"/>
    <w:rsid w:val="008C0F9C"/>
    <w:rsid w:val="008D3D28"/>
    <w:rsid w:val="008E1D3B"/>
    <w:rsid w:val="00902A9B"/>
    <w:rsid w:val="00927A0D"/>
    <w:rsid w:val="00951E00"/>
    <w:rsid w:val="009837EC"/>
    <w:rsid w:val="00990377"/>
    <w:rsid w:val="009D2E7A"/>
    <w:rsid w:val="009F7B16"/>
    <w:rsid w:val="00A2078D"/>
    <w:rsid w:val="00A24BC5"/>
    <w:rsid w:val="00A5061D"/>
    <w:rsid w:val="00A80811"/>
    <w:rsid w:val="00A80CB8"/>
    <w:rsid w:val="00AA1D8D"/>
    <w:rsid w:val="00AE0CD6"/>
    <w:rsid w:val="00AE7674"/>
    <w:rsid w:val="00AF3452"/>
    <w:rsid w:val="00B3772E"/>
    <w:rsid w:val="00B4524C"/>
    <w:rsid w:val="00B47730"/>
    <w:rsid w:val="00B5024E"/>
    <w:rsid w:val="00B65846"/>
    <w:rsid w:val="00B96492"/>
    <w:rsid w:val="00BA3765"/>
    <w:rsid w:val="00BC3BE6"/>
    <w:rsid w:val="00BE12B4"/>
    <w:rsid w:val="00C26706"/>
    <w:rsid w:val="00C31CFC"/>
    <w:rsid w:val="00C4049C"/>
    <w:rsid w:val="00C61A58"/>
    <w:rsid w:val="00C66E90"/>
    <w:rsid w:val="00C94AAF"/>
    <w:rsid w:val="00CB0664"/>
    <w:rsid w:val="00D4583E"/>
    <w:rsid w:val="00D62F36"/>
    <w:rsid w:val="00D8273C"/>
    <w:rsid w:val="00D8495B"/>
    <w:rsid w:val="00D940D9"/>
    <w:rsid w:val="00DF1DCB"/>
    <w:rsid w:val="00E04839"/>
    <w:rsid w:val="00E35C3C"/>
    <w:rsid w:val="00E36128"/>
    <w:rsid w:val="00E54F3E"/>
    <w:rsid w:val="00E55C85"/>
    <w:rsid w:val="00E83DA1"/>
    <w:rsid w:val="00E861F8"/>
    <w:rsid w:val="00EA15C2"/>
    <w:rsid w:val="00EE6029"/>
    <w:rsid w:val="00EF081D"/>
    <w:rsid w:val="00F04436"/>
    <w:rsid w:val="00F1346D"/>
    <w:rsid w:val="00F26DEA"/>
    <w:rsid w:val="00F50AE1"/>
    <w:rsid w:val="00F6232A"/>
    <w:rsid w:val="00FA617F"/>
    <w:rsid w:val="00FC693F"/>
    <w:rsid w:val="00FE2B43"/>
    <w:rsid w:val="00FE68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73BAC4"/>
  <w14:defaultImageDpi w14:val="300"/>
  <w15:docId w15:val="{C3D786FC-414E-447D-9CBE-653371CE9C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auto"/>
    </w:pPr>
    <w:rPr>
      <w:rFonts w:ascii="Arial" w:hAnsi="Arial"/>
      <w:color w:val="000000"/>
      <w:sz w:val="20"/>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contextualSpacing/>
    </w:pPr>
    <w:rPr>
      <w:rFonts w:asciiTheme="majorHAnsi" w:eastAsiaTheme="majorEastAsia" w:hAnsiTheme="majorHAnsi" w:cstheme="majorBidi"/>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extonotapie">
    <w:name w:val="footnote text"/>
    <w:basedOn w:val="Normal"/>
    <w:link w:val="TextonotapieCar"/>
    <w:uiPriority w:val="99"/>
    <w:semiHidden/>
    <w:unhideWhenUsed/>
    <w:rsid w:val="006F65EF"/>
    <w:rPr>
      <w:szCs w:val="20"/>
    </w:rPr>
  </w:style>
  <w:style w:type="character" w:customStyle="1" w:styleId="TextonotapieCar">
    <w:name w:val="Texto nota pie Car"/>
    <w:basedOn w:val="Fuentedeprrafopredeter"/>
    <w:link w:val="Textonotapie"/>
    <w:uiPriority w:val="99"/>
    <w:semiHidden/>
    <w:rsid w:val="006F65EF"/>
    <w:rPr>
      <w:rFonts w:ascii="Arial" w:hAnsi="Arial"/>
      <w:color w:val="000000"/>
      <w:sz w:val="20"/>
      <w:szCs w:val="20"/>
    </w:rPr>
  </w:style>
  <w:style w:type="character" w:styleId="Refdenotaalpie">
    <w:name w:val="footnote reference"/>
    <w:basedOn w:val="Fuentedeprrafopredeter"/>
    <w:uiPriority w:val="99"/>
    <w:semiHidden/>
    <w:unhideWhenUsed/>
    <w:rsid w:val="006F65E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626</TotalTime>
  <Pages>8</Pages>
  <Words>2927</Words>
  <Characters>16103</Characters>
  <Application>Microsoft Office Word</Application>
  <DocSecurity>0</DocSecurity>
  <Lines>134</Lines>
  <Paragraphs>37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18993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Calin</cp:lastModifiedBy>
  <cp:revision>259</cp:revision>
  <dcterms:created xsi:type="dcterms:W3CDTF">2026-05-29T07:31:00Z</dcterms:created>
  <dcterms:modified xsi:type="dcterms:W3CDTF">2026-06-04T01:26:00Z</dcterms:modified>
  <cp:category/>
</cp:coreProperties>
</file>