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FC2A" w14:textId="5DD565B0" w:rsidR="0008797B" w:rsidRPr="00AB23A0" w:rsidRDefault="0008797B" w:rsidP="00817050">
      <w:pPr>
        <w:pStyle w:val="Ttulo1"/>
        <w:numPr>
          <w:ilvl w:val="0"/>
          <w:numId w:val="9"/>
        </w:numPr>
        <w:spacing w:before="0" w:after="0" w:line="276" w:lineRule="auto"/>
        <w:ind w:left="284" w:hanging="284"/>
        <w:rPr>
          <w:rFonts w:ascii="Arial" w:hAnsi="Arial" w:cs="Arial"/>
          <w:b/>
          <w:bCs/>
          <w:color w:val="auto"/>
          <w:sz w:val="22"/>
          <w:szCs w:val="22"/>
          <w:lang w:val="es-PE"/>
        </w:rPr>
      </w:pPr>
      <w:bookmarkStart w:id="0" w:name="_Toc215578861"/>
      <w:r w:rsidRPr="00AB23A0">
        <w:rPr>
          <w:rFonts w:ascii="Arial" w:hAnsi="Arial" w:cs="Arial"/>
          <w:b/>
          <w:bCs/>
          <w:color w:val="auto"/>
          <w:sz w:val="22"/>
          <w:szCs w:val="22"/>
          <w:lang w:val="es-PE"/>
        </w:rPr>
        <w:t>VISIÓN INTEGRAL DE LOS MÓDULOS</w:t>
      </w:r>
      <w:bookmarkEnd w:id="0"/>
    </w:p>
    <w:p w14:paraId="1976D30B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E8B032A" w14:textId="3D98C51B" w:rsidR="0008797B" w:rsidRPr="00057F0A" w:rsidRDefault="00C8470B" w:rsidP="00817050">
      <w:pPr>
        <w:spacing w:after="0" w:line="276" w:lineRule="auto"/>
        <w:jc w:val="both"/>
        <w:rPr>
          <w:rFonts w:ascii="Arial" w:eastAsia="Times New Roman" w:hAnsi="Arial" w:cs="Arial"/>
          <w:lang w:eastAsia="es-PE"/>
        </w:rPr>
      </w:pPr>
      <w:r w:rsidRPr="00C8470B">
        <w:rPr>
          <w:rFonts w:ascii="Arial" w:eastAsia="Times New Roman" w:hAnsi="Arial" w:cs="Arial"/>
          <w:lang w:val="es-PE" w:eastAsia="es-PE"/>
        </w:rPr>
        <w:t>La «Plataforma Digital de Gestión de Predios» se concibe como un entorno tecnológico integrado que articula los módulos funcionales y transversales vinculados a la Gestión de Predios. Permite organizar, consultar, actualizar y dar seguimiento a la información asociada al expediente digital predial, facilitando el flujo de información entre las etapas técnicas, legales</w:t>
      </w:r>
      <w:r w:rsidR="00E660E6">
        <w:rPr>
          <w:rFonts w:ascii="Arial" w:eastAsia="Times New Roman" w:hAnsi="Arial" w:cs="Arial"/>
          <w:lang w:val="es-PE" w:eastAsia="es-PE"/>
        </w:rPr>
        <w:t xml:space="preserve"> y</w:t>
      </w:r>
      <w:r w:rsidRPr="00C8470B">
        <w:rPr>
          <w:rFonts w:ascii="Arial" w:eastAsia="Times New Roman" w:hAnsi="Arial" w:cs="Arial"/>
          <w:lang w:val="es-PE" w:eastAsia="es-PE"/>
        </w:rPr>
        <w:t xml:space="preserve"> administrativas, desde el </w:t>
      </w:r>
      <w:r w:rsidR="009929F6">
        <w:rPr>
          <w:rFonts w:ascii="Arial" w:eastAsia="Times New Roman" w:hAnsi="Arial" w:cs="Arial"/>
          <w:lang w:val="es-PE" w:eastAsia="es-PE"/>
        </w:rPr>
        <w:t>Registro del Proyecto</w:t>
      </w:r>
      <w:r w:rsidRPr="00C8470B">
        <w:rPr>
          <w:rFonts w:ascii="Arial" w:eastAsia="Times New Roman" w:hAnsi="Arial" w:cs="Arial"/>
          <w:lang w:val="es-PE" w:eastAsia="es-PE"/>
        </w:rPr>
        <w:t xml:space="preserve"> hasta la </w:t>
      </w:r>
      <w:r w:rsidR="009929F6">
        <w:rPr>
          <w:rFonts w:ascii="Arial" w:eastAsia="Times New Roman" w:hAnsi="Arial" w:cs="Arial"/>
          <w:lang w:val="es-PE" w:eastAsia="es-PE"/>
        </w:rPr>
        <w:t xml:space="preserve">Recepción </w:t>
      </w:r>
      <w:r w:rsidRPr="00C8470B">
        <w:rPr>
          <w:rFonts w:ascii="Arial" w:eastAsia="Times New Roman" w:hAnsi="Arial" w:cs="Arial"/>
          <w:lang w:val="es-PE" w:eastAsia="es-PE"/>
        </w:rPr>
        <w:t>y custodia del predio. Con ello, fortalece la trazabilidad, consistencia y disponibilidad de los datos, conforme al Decreto Legislativo N.° 1192</w:t>
      </w:r>
      <w:r w:rsidR="003B690D">
        <w:rPr>
          <w:rFonts w:ascii="Arial" w:eastAsia="Times New Roman" w:hAnsi="Arial" w:cs="Arial"/>
          <w:lang w:val="es-PE" w:eastAsia="es-PE"/>
        </w:rPr>
        <w:t xml:space="preserve"> </w:t>
      </w:r>
      <w:r w:rsidRPr="00C8470B">
        <w:rPr>
          <w:rFonts w:ascii="Arial" w:eastAsia="Times New Roman" w:hAnsi="Arial" w:cs="Arial"/>
          <w:lang w:val="es-PE" w:eastAsia="es-PE"/>
        </w:rPr>
        <w:t>y las fichas de procesos aprobadas de la DDP.</w:t>
      </w:r>
    </w:p>
    <w:p w14:paraId="63E7939E" w14:textId="43C1C44D" w:rsidR="000F7F40" w:rsidRPr="000F7F40" w:rsidRDefault="000F7F40" w:rsidP="000F7F4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1684E22" w14:textId="723C4A6B" w:rsidR="000F7F40" w:rsidRPr="000F7F40" w:rsidRDefault="000F7F40" w:rsidP="000F7F4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0F7F40">
        <w:rPr>
          <w:rFonts w:ascii="Arial" w:eastAsia="Times New Roman" w:hAnsi="Arial" w:cs="Arial"/>
          <w:noProof/>
          <w:lang w:val="es-PE" w:eastAsia="es-PE"/>
        </w:rPr>
        <w:drawing>
          <wp:inline distT="0" distB="0" distL="0" distR="0" wp14:anchorId="0200BD3C" wp14:editId="25601618">
            <wp:extent cx="8891270" cy="3402965"/>
            <wp:effectExtent l="0" t="0" r="5080" b="6985"/>
            <wp:docPr id="19298350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F4EC" w14:textId="77777777" w:rsidR="000F7F40" w:rsidRPr="00AB23A0" w:rsidRDefault="000F7F40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36056EF9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DBECD00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  <w:sectPr w:rsidR="0008797B" w:rsidRPr="00AB23A0" w:rsidSect="0008797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BCB7D8C" w14:textId="37F5B4A0" w:rsidR="0008797B" w:rsidRPr="00AB23A0" w:rsidRDefault="00412C53" w:rsidP="00412C53">
      <w:pPr>
        <w:pStyle w:val="Ttulo1"/>
        <w:spacing w:before="0" w:after="0" w:line="276" w:lineRule="auto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r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lastRenderedPageBreak/>
        <w:t xml:space="preserve">7.1. </w:t>
      </w:r>
      <w:r w:rsidR="0008797B"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>Módulo de Registro del Proyecto</w:t>
      </w:r>
    </w:p>
    <w:p w14:paraId="589C4A2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ED4F83A" w14:textId="29F4DBEA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 xml:space="preserve">El proceso inicia con el registro y parametrización del proyecto, consolidando los antecedentes técnicos y legales del mismo, y configurando los parámetros operativos previos para el proceso de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AB23A0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AB23A0">
        <w:rPr>
          <w:rFonts w:ascii="Arial" w:eastAsia="Times New Roman" w:hAnsi="Arial" w:cs="Arial"/>
          <w:lang w:val="es-PE" w:eastAsia="es-PE"/>
        </w:rPr>
        <w:t>redios.</w:t>
      </w:r>
    </w:p>
    <w:p w14:paraId="4B43CF4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37349D6" w14:textId="425FDEF1" w:rsidR="0008797B" w:rsidRPr="00AB23A0" w:rsidRDefault="00F452ED" w:rsidP="00F452ED">
      <w:pPr>
        <w:pStyle w:val="Ttulo1"/>
        <w:spacing w:before="0" w:after="0" w:line="276" w:lineRule="auto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bookmarkStart w:id="1" w:name="_Toc215578863"/>
      <w:r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 xml:space="preserve">7.2. </w:t>
      </w:r>
      <w:r w:rsidR="0008797B"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>Módulos de Diagnóstico y Regularización</w:t>
      </w:r>
      <w:bookmarkEnd w:id="1"/>
    </w:p>
    <w:p w14:paraId="78E439F5" w14:textId="77777777" w:rsidR="0008797B" w:rsidRPr="00AB23A0" w:rsidRDefault="0008797B" w:rsidP="00817050">
      <w:pPr>
        <w:spacing w:after="0" w:line="276" w:lineRule="auto"/>
        <w:rPr>
          <w:rFonts w:ascii="Arial" w:hAnsi="Arial" w:cs="Arial"/>
          <w:lang w:val="es-PE" w:eastAsia="es-PE"/>
        </w:rPr>
      </w:pPr>
    </w:p>
    <w:p w14:paraId="6690541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El flujo central comienza con el análisis legal y técnico del predio:</w:t>
      </w:r>
    </w:p>
    <w:p w14:paraId="49F668A5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D195291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de Recopilación de Información:</w:t>
      </w:r>
      <w:r w:rsidRPr="00AB23A0">
        <w:rPr>
          <w:rFonts w:ascii="Arial" w:eastAsia="Times New Roman" w:hAnsi="Arial" w:cs="Arial"/>
          <w:lang w:val="es-PE" w:eastAsia="es-PE"/>
        </w:rPr>
        <w:t xml:space="preserve"> Cubre el registro de la recopilación de información de entidades generadoras de información catastral y/</w:t>
      </w:r>
      <w:proofErr w:type="spellStart"/>
      <w:r w:rsidRPr="00AB23A0">
        <w:rPr>
          <w:rFonts w:ascii="Arial" w:eastAsia="Times New Roman" w:hAnsi="Arial" w:cs="Arial"/>
          <w:lang w:val="es-PE" w:eastAsia="es-PE"/>
        </w:rPr>
        <w:t>o</w:t>
      </w:r>
      <w:proofErr w:type="spellEnd"/>
      <w:r w:rsidRPr="00AB23A0">
        <w:rPr>
          <w:rFonts w:ascii="Arial" w:eastAsia="Times New Roman" w:hAnsi="Arial" w:cs="Arial"/>
          <w:lang w:val="es-PE" w:eastAsia="es-PE"/>
        </w:rPr>
        <w:t xml:space="preserve"> otras fuentes.</w:t>
      </w:r>
    </w:p>
    <w:p w14:paraId="1F81493D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3DE3645B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de Levantamiento de Información en Campo:</w:t>
      </w:r>
      <w:r w:rsidRPr="00AB23A0">
        <w:rPr>
          <w:rFonts w:ascii="Arial" w:eastAsia="Times New Roman" w:hAnsi="Arial" w:cs="Arial"/>
          <w:lang w:val="es-PE" w:eastAsia="es-PE"/>
        </w:rPr>
        <w:t xml:space="preserve"> Permite el registro del levantamiento topográfico, el levantamiento físico del predio y la recopilación de información del predio y del sujeto pasivo.</w:t>
      </w:r>
    </w:p>
    <w:p w14:paraId="578DBD9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3AE3A97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Diagnóstico Técnico Legal:</w:t>
      </w:r>
      <w:r w:rsidRPr="00AB23A0">
        <w:rPr>
          <w:rFonts w:ascii="Arial" w:eastAsia="Times New Roman" w:hAnsi="Arial" w:cs="Arial"/>
          <w:lang w:val="es-PE" w:eastAsia="es-PE"/>
        </w:rPr>
        <w:t xml:space="preserve"> Recibe los datos iniciales, integra la información técnica y registral y determina la condición jurídico-registral del predio.</w:t>
      </w:r>
    </w:p>
    <w:p w14:paraId="7E0AA7AA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9CF2BDA" w14:textId="453F0786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Módulo Regularización de la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C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ondición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T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écnico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L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egal de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P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>redios:</w:t>
      </w:r>
      <w:r w:rsidRPr="00AB23A0">
        <w:rPr>
          <w:rFonts w:ascii="Arial" w:eastAsia="Times New Roman" w:hAnsi="Arial" w:cs="Arial"/>
          <w:lang w:val="es-PE" w:eastAsia="es-PE"/>
        </w:rPr>
        <w:t xml:space="preserve"> Se activa cuando el diagnóstico determina la necesidad de regularización de la condición técnico legal de predios previamente identificados.</w:t>
      </w:r>
    </w:p>
    <w:p w14:paraId="27EA4819" w14:textId="77777777" w:rsidR="00F452ED" w:rsidRPr="00AB23A0" w:rsidRDefault="00F452ED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</w:pPr>
    </w:p>
    <w:p w14:paraId="08B1E517" w14:textId="77777777" w:rsidR="00923904" w:rsidRPr="00AB23A0" w:rsidRDefault="00F452ED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  <w:t xml:space="preserve">7.3. </w:t>
      </w:r>
      <w:r w:rsidR="0008797B" w:rsidRPr="00AB23A0"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  <w:t>Módulo de Gestión de la Tasación</w:t>
      </w:r>
    </w:p>
    <w:p w14:paraId="12766443" w14:textId="77777777" w:rsidR="00923904" w:rsidRPr="00AB23A0" w:rsidRDefault="00923904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</w:pPr>
    </w:p>
    <w:p w14:paraId="6A9D1DE8" w14:textId="6FFB303C" w:rsidR="0008797B" w:rsidRPr="00AB23A0" w:rsidRDefault="0008797B" w:rsidP="00F452ED">
      <w:pPr>
        <w:pStyle w:val="Ttulo1"/>
        <w:spacing w:before="0" w:after="0" w:line="276" w:lineRule="auto"/>
        <w:jc w:val="both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r w:rsidRPr="00AB23A0"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  <w:t>Calcula el valor de tasación del predio, sus edificaciones, obras complementarias y mejoras, tomando como base Diagnóstico Técnico Legal y la normativa aplicable.</w:t>
      </w:r>
    </w:p>
    <w:p w14:paraId="289140D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770959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7.4. Módulos de Adquisición</w:t>
      </w:r>
    </w:p>
    <w:p w14:paraId="652707B6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255FACC2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Estos módulos gestionan la adquisición del predio o área requerida mediante trato directo, expropiación, reconocimiento de mejoras, emisión de la resolución y pago o consignación correspondiente.</w:t>
      </w:r>
    </w:p>
    <w:p w14:paraId="62734792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B8D959C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Trato Directo:</w:t>
      </w:r>
      <w:r w:rsidRPr="00AB23A0">
        <w:rPr>
          <w:rFonts w:ascii="Arial" w:eastAsia="Times New Roman" w:hAnsi="Arial" w:cs="Arial"/>
          <w:lang w:val="es-PE" w:eastAsia="es-PE"/>
        </w:rPr>
        <w:t xml:space="preserve"> Gestiona la oferta de adquisición, registra la respuesta del sujeto pasivo y consolida los acuerdos cuando la propuesta es aceptada.</w:t>
      </w:r>
    </w:p>
    <w:p w14:paraId="01B17F41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116BA494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Expropiación</w:t>
      </w:r>
      <w:r w:rsidRPr="00AB23A0">
        <w:rPr>
          <w:rFonts w:ascii="Arial" w:eastAsia="Times New Roman" w:hAnsi="Arial" w:cs="Arial"/>
          <w:lang w:val="es-PE" w:eastAsia="es-PE"/>
        </w:rPr>
        <w:t>: Activa y alerta el procedimiento de expropiación ante la negativa o falta de respuesta del sujeto pasivo, generando los insumos técnicos y legales correspondientes.</w:t>
      </w:r>
    </w:p>
    <w:p w14:paraId="69956B93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244CE4E2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Reconocimiento de Mejoras:</w:t>
      </w:r>
      <w:r w:rsidRPr="00AB23A0">
        <w:rPr>
          <w:rFonts w:ascii="Arial" w:eastAsia="Times New Roman" w:hAnsi="Arial" w:cs="Arial"/>
          <w:lang w:val="es-PE" w:eastAsia="es-PE"/>
        </w:rPr>
        <w:t xml:space="preserve"> Identifica, evalúa y gestiona la compensación de mejoras existentes que correspondan a terceros distintos del propietario del predio.</w:t>
      </w:r>
    </w:p>
    <w:p w14:paraId="34F57CF5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48C78816" w14:textId="580CE5DF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Módulo Gestión Legal y Emisión </w:t>
      </w:r>
      <w:r w:rsidR="00A36418">
        <w:rPr>
          <w:rFonts w:ascii="Arial" w:eastAsia="Times New Roman" w:hAnsi="Arial" w:cs="Arial"/>
          <w:b/>
          <w:bCs/>
          <w:lang w:val="es-PE" w:eastAsia="es-PE"/>
        </w:rPr>
        <w:t>de la Resolución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>:</w:t>
      </w:r>
      <w:r w:rsidRPr="00AB23A0">
        <w:rPr>
          <w:rFonts w:ascii="Arial" w:eastAsia="Times New Roman" w:hAnsi="Arial" w:cs="Arial"/>
          <w:lang w:val="es-PE" w:eastAsia="es-PE"/>
        </w:rPr>
        <w:t xml:space="preserve"> Estructura el informe técnico legal (ITL) y el proyecto de resolución, articulando su revisión, validación y firma hasta la emisión </w:t>
      </w:r>
      <w:r w:rsidR="00A36418">
        <w:rPr>
          <w:rFonts w:ascii="Arial" w:eastAsia="Times New Roman" w:hAnsi="Arial" w:cs="Arial"/>
          <w:lang w:val="es-PE" w:eastAsia="es-PE"/>
        </w:rPr>
        <w:t>de la resolución</w:t>
      </w:r>
      <w:r w:rsidRPr="00AB23A0">
        <w:rPr>
          <w:rFonts w:ascii="Arial" w:eastAsia="Times New Roman" w:hAnsi="Arial" w:cs="Arial"/>
          <w:lang w:val="es-PE" w:eastAsia="es-PE"/>
        </w:rPr>
        <w:t xml:space="preserve"> correspondiente.</w:t>
      </w:r>
    </w:p>
    <w:p w14:paraId="29BC9FF7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445196C1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Gestión Económica del Pago y Consignación:</w:t>
      </w:r>
      <w:r w:rsidRPr="00AB23A0">
        <w:rPr>
          <w:rFonts w:ascii="Arial" w:eastAsia="Times New Roman" w:hAnsi="Arial" w:cs="Arial"/>
          <w:lang w:val="es-PE" w:eastAsia="es-PE"/>
        </w:rPr>
        <w:t xml:space="preserve"> Gestiona la Certificación de Crédito Presupuestario (CCP) y la ejecución del pago o consignación al sujeto pasivo, asegurando la disponibilidad presupuestal y la trazabilidad económica de dicho proceso.</w:t>
      </w:r>
    </w:p>
    <w:p w14:paraId="091143A8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65D39D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7.5. Módulo de Transferencia Interestatal</w:t>
      </w:r>
    </w:p>
    <w:p w14:paraId="718063E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584EEA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el procedimiento de transferencia de predios de propiedad estatal entre entidades públicas, conforme a la normativa aplicable.</w:t>
      </w:r>
    </w:p>
    <w:p w14:paraId="37C3775F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0C74C07" w14:textId="7161AA16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7.6. Módulo de Gestión de la Inscripción de la </w:t>
      </w:r>
      <w:r w:rsidR="005B38D0">
        <w:rPr>
          <w:rFonts w:ascii="Arial" w:eastAsia="Times New Roman" w:hAnsi="Arial" w:cs="Arial"/>
          <w:b/>
          <w:bCs/>
          <w:lang w:val="es-PE" w:eastAsia="es-PE"/>
        </w:rPr>
        <w:t>Adquisición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 del Predio</w:t>
      </w:r>
    </w:p>
    <w:p w14:paraId="58BCA48C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801804D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la inscripción de la transferencia del predio a nombre del MTC ante la SUNARP, una vez ejecutado el pago o consignación correspondiente, permitiendo el registro del predio adquirido conforme a la documentación generada en el proceso.</w:t>
      </w:r>
    </w:p>
    <w:p w14:paraId="4CA3E3F6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</w:p>
    <w:p w14:paraId="466D33FA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7.7. Módulo de Recepción y Custodia de Predios</w:t>
      </w:r>
    </w:p>
    <w:p w14:paraId="666FCEF7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A63CF1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la recepción del predio por parte de la DDP y su posterior entrega a la Oficina de Patrimonio para su custodia, mediante la coordinación con el sujeto pasivo, la revisión documental y la suscripción de las actas correspondientes.</w:t>
      </w:r>
    </w:p>
    <w:p w14:paraId="120BAA40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48F2261" w14:textId="6D1E4FB0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7.8. Módulo de Gestión </w:t>
      </w:r>
      <w:r w:rsidR="003C2E99">
        <w:rPr>
          <w:rFonts w:ascii="Arial" w:eastAsia="Times New Roman" w:hAnsi="Arial" w:cs="Arial"/>
          <w:b/>
          <w:bCs/>
          <w:lang w:val="es-PE" w:eastAsia="es-PE"/>
        </w:rPr>
        <w:t xml:space="preserve">Integrada de Información de Predios GIS-BIM </w:t>
      </w:r>
    </w:p>
    <w:p w14:paraId="35CA2A3D" w14:textId="77777777" w:rsidR="00D8226F" w:rsidRDefault="00D8226F" w:rsidP="00817050">
      <w:pPr>
        <w:spacing w:after="0" w:line="276" w:lineRule="auto"/>
        <w:jc w:val="both"/>
        <w:rPr>
          <w:rFonts w:ascii="Arial" w:eastAsia="Times New Roman" w:hAnsi="Arial" w:cs="Arial"/>
          <w:color w:val="EE0000"/>
          <w:lang w:val="es-PE" w:eastAsia="es-PE"/>
        </w:rPr>
      </w:pPr>
    </w:p>
    <w:p w14:paraId="7D5E55D4" w14:textId="2E537297" w:rsidR="0008797B" w:rsidRPr="00180D4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180D43">
        <w:rPr>
          <w:rFonts w:ascii="Arial" w:eastAsia="Times New Roman" w:hAnsi="Arial" w:cs="Arial"/>
          <w:lang w:val="es-PE" w:eastAsia="es-PE"/>
        </w:rPr>
        <w:t>Establece un flujo de trabajo secuencial en el CDE, estructurado en dos hitos operativos: primero, la Fase I (Gestión de Predios), donde el CDE funciona exclusivamente como un repositorio GIS para la regularización legal y documental, garantizando que la información de predios se mantenga independiente del diseño; y segundo, la Fase II (Consolidación BIM), que inicia solo tras la certificación de “Adquisición” del predio. En esta última etapa, la geometría validada e inmutable se integra al modelo federado 3D (BIM). Solo en este punto, el equipo de diseño tiene la certeza de que los límites georreferenciados del terreno corresponden a un predio legalmente disponible.</w:t>
      </w:r>
    </w:p>
    <w:p w14:paraId="6D4C43AD" w14:textId="77777777" w:rsidR="00180D4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color w:val="EE0000"/>
          <w:lang w:val="es-PE" w:eastAsia="es-PE"/>
        </w:rPr>
      </w:pPr>
    </w:p>
    <w:p w14:paraId="56EA043C" w14:textId="77777777" w:rsidR="00180D43" w:rsidRPr="00515A5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270FAA3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7.9. Módulos Transversales</w:t>
      </w:r>
    </w:p>
    <w:p w14:paraId="1F00DD2A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F31530B" w14:textId="2BE26B0D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lang w:val="es-PE" w:eastAsia="es-PE"/>
        </w:rPr>
        <w:t xml:space="preserve">Los módulos transversales brindan soporte funcional al proceso de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 xml:space="preserve">redios, asegurando la seguridad, interoperabilidad, gestión social, seguimiento, monitoreo, gestión presupuestal y gestión del expediente </w:t>
      </w:r>
      <w:r w:rsidR="00E476DA">
        <w:rPr>
          <w:rFonts w:ascii="Arial" w:eastAsia="Times New Roman" w:hAnsi="Arial" w:cs="Arial"/>
          <w:lang w:val="es-PE" w:eastAsia="es-PE"/>
        </w:rPr>
        <w:t xml:space="preserve">predial </w:t>
      </w:r>
      <w:r w:rsidRPr="00515A53">
        <w:rPr>
          <w:rFonts w:ascii="Arial" w:eastAsia="Times New Roman" w:hAnsi="Arial" w:cs="Arial"/>
          <w:lang w:val="es-PE" w:eastAsia="es-PE"/>
        </w:rPr>
        <w:t>digital.</w:t>
      </w:r>
    </w:p>
    <w:p w14:paraId="224BD57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248210C" w14:textId="7777777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Módulo de Seguridad: </w:t>
      </w:r>
      <w:r w:rsidRPr="00515A53">
        <w:rPr>
          <w:rFonts w:ascii="Arial" w:eastAsia="Times New Roman" w:hAnsi="Arial" w:cs="Arial"/>
          <w:lang w:val="es-PE" w:eastAsia="es-PE"/>
        </w:rPr>
        <w:t>Administra roles, permisos, accesos y autenticación de usuarios, asegurando que cada usuario opere conforme a sus facultades autorizadas. Asimismo, registra historiales de auditoría y aplica mecanismos de protección frente a accesos no autorizados.</w:t>
      </w:r>
    </w:p>
    <w:p w14:paraId="3428B0C3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1811F5CB" w14:textId="50F2DC9B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Interoperabilidad:</w:t>
      </w:r>
      <w:r w:rsidRPr="00515A53">
        <w:rPr>
          <w:rFonts w:ascii="Arial" w:eastAsia="Times New Roman" w:hAnsi="Arial" w:cs="Arial"/>
          <w:lang w:val="es-PE" w:eastAsia="es-PE"/>
        </w:rPr>
        <w:t xml:space="preserve"> Permite el intercambio seguro de información con entidades externas y sistemas internos vinculados a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redios, facilitando la consulta y validación de datos técnicos, legales, catastrales y registrales.</w:t>
      </w:r>
    </w:p>
    <w:p w14:paraId="040F352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675F84C" w14:textId="7777777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Gestión Predial Social:</w:t>
      </w:r>
      <w:r w:rsidRPr="00515A53">
        <w:rPr>
          <w:rFonts w:ascii="Arial" w:eastAsia="Times New Roman" w:hAnsi="Arial" w:cs="Arial"/>
          <w:lang w:val="es-PE" w:eastAsia="es-PE"/>
        </w:rPr>
        <w:t xml:space="preserve"> Registra, gestiona y realiza el seguimiento de actores, comunicaciones, conflictos, compromisos y acuerdos vinculados a las intervenciones prediales.</w:t>
      </w:r>
    </w:p>
    <w:p w14:paraId="06C35620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ECBCD4A" w14:textId="21279082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Seguimiento de la Adquisición</w:t>
      </w:r>
      <w:r w:rsidR="00ED4365">
        <w:rPr>
          <w:rFonts w:ascii="Arial" w:eastAsia="Times New Roman" w:hAnsi="Arial" w:cs="Arial"/>
          <w:b/>
          <w:bCs/>
          <w:lang w:val="es-PE" w:eastAsia="es-PE"/>
        </w:rPr>
        <w:t xml:space="preserve"> por el Sujeto Pasivo</w:t>
      </w: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: </w:t>
      </w:r>
      <w:r w:rsidRPr="00515A53">
        <w:rPr>
          <w:rFonts w:ascii="Arial" w:eastAsia="Times New Roman" w:hAnsi="Arial" w:cs="Arial"/>
          <w:lang w:val="es-PE" w:eastAsia="es-PE"/>
        </w:rPr>
        <w:t>Permite consultar el estado del proceso de adquisición del predio, mediante un acceso seguro, controlado y de solo lectura para el sujeto pasivo.</w:t>
      </w:r>
    </w:p>
    <w:p w14:paraId="3B8F442F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23790AD" w14:textId="693B36E2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Seguimiento, Monitoreo, Reportes e Indicadores:</w:t>
      </w:r>
      <w:r w:rsidRPr="00515A53">
        <w:rPr>
          <w:rFonts w:ascii="Arial" w:eastAsia="Times New Roman" w:hAnsi="Arial" w:cs="Arial"/>
          <w:lang w:val="es-PE" w:eastAsia="es-PE"/>
        </w:rPr>
        <w:t xml:space="preserve"> Consolida indicadores, alertas, reportes y tableros para monitorear el avance técnico, legal, social, económico y físico de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redios.</w:t>
      </w:r>
    </w:p>
    <w:p w14:paraId="28B5E8E8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5B4DEA1" w14:textId="6CA90A86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Gestión Presupuestal:</w:t>
      </w:r>
      <w:r w:rsidRPr="00515A53">
        <w:rPr>
          <w:rFonts w:ascii="Arial" w:eastAsia="Times New Roman" w:hAnsi="Arial" w:cs="Arial"/>
          <w:lang w:val="es-PE" w:eastAsia="es-PE"/>
        </w:rPr>
        <w:t xml:space="preserve"> Gestiona y monitorea los recursos presupuestales requeridos para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redios, centralizando información sobre disponibilidad, programación, ejecución económica y gastos operativos.</w:t>
      </w:r>
    </w:p>
    <w:p w14:paraId="66CDA8DE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AD43971" w14:textId="69FD4F8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Módulo de Gestión </w:t>
      </w:r>
      <w:r w:rsidR="00DF69E0">
        <w:rPr>
          <w:rFonts w:ascii="Arial" w:eastAsia="Times New Roman" w:hAnsi="Arial" w:cs="Arial"/>
          <w:b/>
          <w:bCs/>
          <w:lang w:val="es-PE" w:eastAsia="es-PE"/>
        </w:rPr>
        <w:t>Documental de Registros y Productos</w:t>
      </w:r>
      <w:r w:rsidRPr="00515A53">
        <w:rPr>
          <w:rFonts w:ascii="Arial" w:eastAsia="Times New Roman" w:hAnsi="Arial" w:cs="Arial"/>
          <w:b/>
          <w:bCs/>
          <w:lang w:val="es-PE" w:eastAsia="es-PE"/>
        </w:rPr>
        <w:t>:</w:t>
      </w:r>
      <w:r w:rsidRPr="00515A53">
        <w:rPr>
          <w:rFonts w:ascii="Arial" w:eastAsia="Times New Roman" w:hAnsi="Arial" w:cs="Arial"/>
          <w:lang w:val="es-PE" w:eastAsia="es-PE"/>
        </w:rPr>
        <w:t xml:space="preserve"> </w:t>
      </w:r>
      <w:r w:rsidR="008276B9" w:rsidRPr="008276B9">
        <w:rPr>
          <w:rFonts w:ascii="Arial" w:eastAsia="Times New Roman" w:hAnsi="Arial" w:cs="Arial"/>
          <w:lang w:val="es-PE" w:eastAsia="es-PE"/>
        </w:rPr>
        <w:t>organiza, controla y custodia la documentación generada durante la Gestión de Predios, diferenciando los registros y productos resultantes de cada proceso, los cuales se incorporan progresivamente al Expediente Predial Digital como parte de la información técnica y legal del predio.</w:t>
      </w:r>
    </w:p>
    <w:p w14:paraId="3AAC9A5D" w14:textId="77777777" w:rsidR="0008797B" w:rsidRPr="008276B9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AAAB46F" w14:textId="77777777" w:rsidR="0008797B" w:rsidRPr="008276B9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8276B9">
        <w:rPr>
          <w:rFonts w:ascii="Arial" w:eastAsia="Times New Roman" w:hAnsi="Arial" w:cs="Arial"/>
          <w:b/>
          <w:bCs/>
          <w:lang w:val="es-PE" w:eastAsia="es-PE"/>
        </w:rPr>
        <w:t>Expediente Predial Digital</w:t>
      </w:r>
    </w:p>
    <w:p w14:paraId="51D8C736" w14:textId="77777777" w:rsidR="0008797B" w:rsidRPr="00A0163B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color w:val="0070C0"/>
          <w:lang w:val="es-PE" w:eastAsia="es-PE"/>
        </w:rPr>
      </w:pPr>
    </w:p>
    <w:p w14:paraId="7B5F7803" w14:textId="77777777" w:rsidR="0008797B" w:rsidRDefault="008276B9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8276B9">
        <w:rPr>
          <w:rFonts w:ascii="Arial" w:eastAsia="Times New Roman" w:hAnsi="Arial" w:cs="Arial"/>
          <w:lang w:val="es-PE" w:eastAsia="es-PE"/>
        </w:rPr>
        <w:t>El Expediente Predial Digital constituye el resultado consolidado de la documentación técnica y legal generada durante la Gestión de Predios. Se conforma progresivamente conforme avanzan las etapas del proceso, incorporando únicamente los productos validados.</w:t>
      </w:r>
    </w:p>
    <w:p w14:paraId="4E01E05B" w14:textId="77777777" w:rsidR="006C7781" w:rsidRPr="006C7781" w:rsidRDefault="006C7781" w:rsidP="006C7781">
      <w:pPr>
        <w:rPr>
          <w:rFonts w:ascii="Arial" w:eastAsia="Times New Roman" w:hAnsi="Arial" w:cs="Arial"/>
          <w:lang w:val="es-PE" w:eastAsia="es-PE"/>
        </w:rPr>
      </w:pPr>
    </w:p>
    <w:p w14:paraId="267EF92A" w14:textId="77777777" w:rsidR="006C7781" w:rsidRPr="006C7781" w:rsidRDefault="006C7781" w:rsidP="006C7781">
      <w:pPr>
        <w:rPr>
          <w:rFonts w:ascii="Arial" w:eastAsia="Times New Roman" w:hAnsi="Arial" w:cs="Arial"/>
          <w:lang w:val="es-PE" w:eastAsia="es-PE"/>
        </w:rPr>
      </w:pPr>
    </w:p>
    <w:p w14:paraId="052F3819" w14:textId="77777777" w:rsidR="006C7781" w:rsidRPr="006C7781" w:rsidRDefault="006C7781" w:rsidP="006C7781">
      <w:pPr>
        <w:rPr>
          <w:rFonts w:ascii="Arial" w:eastAsia="Times New Roman" w:hAnsi="Arial" w:cs="Arial"/>
          <w:lang w:val="es-PE" w:eastAsia="es-PE"/>
        </w:rPr>
      </w:pPr>
    </w:p>
    <w:p w14:paraId="15CEF481" w14:textId="77777777" w:rsidR="006C7781" w:rsidRPr="006C7781" w:rsidRDefault="006C7781" w:rsidP="006C7781">
      <w:pPr>
        <w:rPr>
          <w:rFonts w:ascii="Arial" w:eastAsia="Times New Roman" w:hAnsi="Arial" w:cs="Arial"/>
          <w:lang w:val="es-PE" w:eastAsia="es-PE"/>
        </w:rPr>
      </w:pPr>
    </w:p>
    <w:p w14:paraId="306B2ACA" w14:textId="77777777" w:rsidR="006C7781" w:rsidRPr="006C7781" w:rsidRDefault="006C7781" w:rsidP="006C7781">
      <w:pPr>
        <w:rPr>
          <w:rFonts w:ascii="Arial" w:eastAsia="Times New Roman" w:hAnsi="Arial" w:cs="Arial"/>
          <w:lang w:val="es-PE" w:eastAsia="es-PE"/>
        </w:rPr>
      </w:pPr>
    </w:p>
    <w:p w14:paraId="58B3570D" w14:textId="77777777" w:rsidR="006C7781" w:rsidRDefault="006C7781" w:rsidP="006C7781">
      <w:pPr>
        <w:rPr>
          <w:rFonts w:ascii="Arial" w:eastAsia="Times New Roman" w:hAnsi="Arial" w:cs="Arial"/>
          <w:lang w:val="es-PE" w:eastAsia="es-PE"/>
        </w:rPr>
      </w:pPr>
    </w:p>
    <w:p w14:paraId="3B50DCE3" w14:textId="77777777" w:rsidR="006C7781" w:rsidRDefault="006C7781" w:rsidP="006C7781">
      <w:pPr>
        <w:rPr>
          <w:rFonts w:ascii="Arial" w:eastAsia="Times New Roman" w:hAnsi="Arial" w:cs="Arial"/>
          <w:lang w:val="es-PE" w:eastAsia="es-PE"/>
        </w:rPr>
      </w:pPr>
    </w:p>
    <w:p w14:paraId="045F4800" w14:textId="32457604" w:rsidR="006C7781" w:rsidRPr="006C7781" w:rsidRDefault="006C7781" w:rsidP="006C7781">
      <w:pPr>
        <w:rPr>
          <w:rFonts w:ascii="Arial" w:eastAsia="Times New Roman" w:hAnsi="Arial" w:cs="Arial"/>
          <w:lang w:val="es-PE" w:eastAsia="es-PE"/>
        </w:rPr>
        <w:sectPr w:rsidR="006C7781" w:rsidRPr="006C7781" w:rsidSect="000879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FEED30" w14:textId="0CC5B40F" w:rsidR="003A22BF" w:rsidRPr="00515A53" w:rsidRDefault="003A22BF" w:rsidP="003A22BF">
      <w:pPr>
        <w:tabs>
          <w:tab w:val="left" w:pos="16740"/>
        </w:tabs>
        <w:rPr>
          <w:rFonts w:ascii="Arial" w:hAnsi="Arial" w:cs="Arial"/>
          <w:noProof/>
          <w:lang w:val="es-PE"/>
        </w:rPr>
      </w:pPr>
      <w:r w:rsidRPr="00515A53">
        <w:rPr>
          <w:rFonts w:ascii="Arial" w:hAnsi="Arial" w:cs="Arial"/>
          <w:noProof/>
          <w:lang w:val="es-PE"/>
        </w:rPr>
        <w:tab/>
      </w:r>
    </w:p>
    <w:sectPr w:rsidR="003A22BF" w:rsidRPr="00515A53" w:rsidSect="006425D3">
      <w:pgSz w:w="23811" w:h="16838" w:orient="landscape" w:code="8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97EA" w14:textId="77777777" w:rsidR="006E02DB" w:rsidRDefault="006E02DB" w:rsidP="00C94FF8">
      <w:pPr>
        <w:spacing w:after="0" w:line="240" w:lineRule="auto"/>
      </w:pPr>
      <w:r>
        <w:separator/>
      </w:r>
    </w:p>
  </w:endnote>
  <w:endnote w:type="continuationSeparator" w:id="0">
    <w:p w14:paraId="7D9CB4C0" w14:textId="77777777" w:rsidR="006E02DB" w:rsidRDefault="006E02DB" w:rsidP="00C9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59F45" w14:textId="77777777" w:rsidR="006E02DB" w:rsidRDefault="006E02DB" w:rsidP="00C94FF8">
      <w:pPr>
        <w:spacing w:after="0" w:line="240" w:lineRule="auto"/>
      </w:pPr>
      <w:r>
        <w:separator/>
      </w:r>
    </w:p>
  </w:footnote>
  <w:footnote w:type="continuationSeparator" w:id="0">
    <w:p w14:paraId="59153648" w14:textId="77777777" w:rsidR="006E02DB" w:rsidRDefault="006E02DB" w:rsidP="00C94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8E1D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227AD6"/>
    <w:multiLevelType w:val="hybridMultilevel"/>
    <w:tmpl w:val="7E9203F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266E9"/>
    <w:multiLevelType w:val="hybridMultilevel"/>
    <w:tmpl w:val="7A0CB6E8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35AE"/>
    <w:multiLevelType w:val="multilevel"/>
    <w:tmpl w:val="0C0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E79F5"/>
    <w:multiLevelType w:val="hybridMultilevel"/>
    <w:tmpl w:val="D80494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20C14"/>
    <w:multiLevelType w:val="multilevel"/>
    <w:tmpl w:val="526C514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7E0712A"/>
    <w:multiLevelType w:val="multilevel"/>
    <w:tmpl w:val="2458B5C8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CC36082"/>
    <w:multiLevelType w:val="hybridMultilevel"/>
    <w:tmpl w:val="408EFE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14C8B"/>
    <w:multiLevelType w:val="multilevel"/>
    <w:tmpl w:val="457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11E3B"/>
    <w:multiLevelType w:val="multilevel"/>
    <w:tmpl w:val="ED8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B1DA9"/>
    <w:multiLevelType w:val="hybridMultilevel"/>
    <w:tmpl w:val="4ADE7B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B7E04"/>
    <w:multiLevelType w:val="multilevel"/>
    <w:tmpl w:val="842C08F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3C42E60"/>
    <w:multiLevelType w:val="multilevel"/>
    <w:tmpl w:val="13C4C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543C8E"/>
    <w:multiLevelType w:val="multilevel"/>
    <w:tmpl w:val="AF26DACA"/>
    <w:lvl w:ilvl="0">
      <w:start w:val="3"/>
      <w:numFmt w:val="decimal"/>
      <w:lvlText w:val="%1."/>
      <w:lvlJc w:val="left"/>
      <w:pPr>
        <w:ind w:left="1779" w:hanging="360"/>
      </w:pPr>
      <w:rPr>
        <w:rFonts w:hint="default"/>
        <w:b/>
        <w:bCs/>
        <w:sz w:val="22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  <w:bCs/>
        <w:sz w:val="22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  <w:sz w:val="22"/>
      </w:rPr>
    </w:lvl>
  </w:abstractNum>
  <w:abstractNum w:abstractNumId="14" w15:restartNumberingAfterBreak="0">
    <w:nsid w:val="6FD34FB9"/>
    <w:multiLevelType w:val="hybridMultilevel"/>
    <w:tmpl w:val="71543C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74201"/>
    <w:multiLevelType w:val="hybridMultilevel"/>
    <w:tmpl w:val="DD34CA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F7C8F"/>
    <w:multiLevelType w:val="multilevel"/>
    <w:tmpl w:val="926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17138">
    <w:abstractNumId w:val="12"/>
  </w:num>
  <w:num w:numId="2" w16cid:durableId="1355618304">
    <w:abstractNumId w:val="3"/>
  </w:num>
  <w:num w:numId="3" w16cid:durableId="1714815411">
    <w:abstractNumId w:val="16"/>
  </w:num>
  <w:num w:numId="4" w16cid:durableId="422724701">
    <w:abstractNumId w:val="6"/>
  </w:num>
  <w:num w:numId="5" w16cid:durableId="1125393951">
    <w:abstractNumId w:val="13"/>
  </w:num>
  <w:num w:numId="6" w16cid:durableId="357898078">
    <w:abstractNumId w:val="9"/>
  </w:num>
  <w:num w:numId="7" w16cid:durableId="311259387">
    <w:abstractNumId w:val="8"/>
  </w:num>
  <w:num w:numId="8" w16cid:durableId="1314479928">
    <w:abstractNumId w:val="7"/>
  </w:num>
  <w:num w:numId="9" w16cid:durableId="1273828882">
    <w:abstractNumId w:val="5"/>
  </w:num>
  <w:num w:numId="10" w16cid:durableId="569386405">
    <w:abstractNumId w:val="10"/>
  </w:num>
  <w:num w:numId="11" w16cid:durableId="2117630651">
    <w:abstractNumId w:val="4"/>
  </w:num>
  <w:num w:numId="12" w16cid:durableId="219676854">
    <w:abstractNumId w:val="14"/>
  </w:num>
  <w:num w:numId="13" w16cid:durableId="493882591">
    <w:abstractNumId w:val="15"/>
  </w:num>
  <w:num w:numId="14" w16cid:durableId="1947540693">
    <w:abstractNumId w:val="0"/>
  </w:num>
  <w:num w:numId="15" w16cid:durableId="166294526">
    <w:abstractNumId w:val="11"/>
  </w:num>
  <w:num w:numId="16" w16cid:durableId="197284158">
    <w:abstractNumId w:val="1"/>
  </w:num>
  <w:num w:numId="17" w16cid:durableId="1435175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5B"/>
    <w:rsid w:val="0000155C"/>
    <w:rsid w:val="000058A4"/>
    <w:rsid w:val="000110E9"/>
    <w:rsid w:val="00013E51"/>
    <w:rsid w:val="00017BEC"/>
    <w:rsid w:val="0002329F"/>
    <w:rsid w:val="0002399E"/>
    <w:rsid w:val="00025B09"/>
    <w:rsid w:val="00027EB8"/>
    <w:rsid w:val="00031BFA"/>
    <w:rsid w:val="00040001"/>
    <w:rsid w:val="000407C6"/>
    <w:rsid w:val="00040840"/>
    <w:rsid w:val="00045C58"/>
    <w:rsid w:val="00046E6F"/>
    <w:rsid w:val="00047B7D"/>
    <w:rsid w:val="00057F0A"/>
    <w:rsid w:val="0006077A"/>
    <w:rsid w:val="00066168"/>
    <w:rsid w:val="0008797B"/>
    <w:rsid w:val="000903EB"/>
    <w:rsid w:val="000B0807"/>
    <w:rsid w:val="000B496B"/>
    <w:rsid w:val="000B62A2"/>
    <w:rsid w:val="000C5089"/>
    <w:rsid w:val="000D1AC4"/>
    <w:rsid w:val="000D1B96"/>
    <w:rsid w:val="000D3C3D"/>
    <w:rsid w:val="000D6046"/>
    <w:rsid w:val="000E1315"/>
    <w:rsid w:val="000E4DDA"/>
    <w:rsid w:val="000E64CD"/>
    <w:rsid w:val="000F1994"/>
    <w:rsid w:val="000F7F40"/>
    <w:rsid w:val="00103811"/>
    <w:rsid w:val="00107EC5"/>
    <w:rsid w:val="00112F1B"/>
    <w:rsid w:val="001217D7"/>
    <w:rsid w:val="00124814"/>
    <w:rsid w:val="00130EC1"/>
    <w:rsid w:val="00133DB6"/>
    <w:rsid w:val="001372D6"/>
    <w:rsid w:val="0014694D"/>
    <w:rsid w:val="00160BB8"/>
    <w:rsid w:val="00165DCA"/>
    <w:rsid w:val="0017199E"/>
    <w:rsid w:val="00173EDE"/>
    <w:rsid w:val="00180D43"/>
    <w:rsid w:val="00184DA5"/>
    <w:rsid w:val="00191BA6"/>
    <w:rsid w:val="001922F6"/>
    <w:rsid w:val="00197673"/>
    <w:rsid w:val="001A6768"/>
    <w:rsid w:val="001A74BC"/>
    <w:rsid w:val="001B4BA3"/>
    <w:rsid w:val="001B6CFA"/>
    <w:rsid w:val="001B75B5"/>
    <w:rsid w:val="001C023C"/>
    <w:rsid w:val="001C412E"/>
    <w:rsid w:val="001C5B2D"/>
    <w:rsid w:val="001D0A20"/>
    <w:rsid w:val="001D1025"/>
    <w:rsid w:val="001D4FD7"/>
    <w:rsid w:val="00203803"/>
    <w:rsid w:val="00204E93"/>
    <w:rsid w:val="00211A94"/>
    <w:rsid w:val="00213662"/>
    <w:rsid w:val="00215969"/>
    <w:rsid w:val="00217DBF"/>
    <w:rsid w:val="00230C2B"/>
    <w:rsid w:val="002347FE"/>
    <w:rsid w:val="00236256"/>
    <w:rsid w:val="0023795A"/>
    <w:rsid w:val="00245A6F"/>
    <w:rsid w:val="002749AA"/>
    <w:rsid w:val="00277E4B"/>
    <w:rsid w:val="00283C66"/>
    <w:rsid w:val="0029204B"/>
    <w:rsid w:val="00295B9D"/>
    <w:rsid w:val="002B17EB"/>
    <w:rsid w:val="002C122F"/>
    <w:rsid w:val="002C3942"/>
    <w:rsid w:val="002C6B00"/>
    <w:rsid w:val="002C7613"/>
    <w:rsid w:val="002D0356"/>
    <w:rsid w:val="002D4AB4"/>
    <w:rsid w:val="002D5050"/>
    <w:rsid w:val="002D6964"/>
    <w:rsid w:val="002D6F88"/>
    <w:rsid w:val="002E0B7D"/>
    <w:rsid w:val="002E6F00"/>
    <w:rsid w:val="002F0508"/>
    <w:rsid w:val="002F3518"/>
    <w:rsid w:val="00305A50"/>
    <w:rsid w:val="00311A44"/>
    <w:rsid w:val="0031472C"/>
    <w:rsid w:val="003175A5"/>
    <w:rsid w:val="00321D79"/>
    <w:rsid w:val="00325653"/>
    <w:rsid w:val="003256F8"/>
    <w:rsid w:val="00340D0A"/>
    <w:rsid w:val="00343FE0"/>
    <w:rsid w:val="00353195"/>
    <w:rsid w:val="003538B1"/>
    <w:rsid w:val="00357942"/>
    <w:rsid w:val="0036572A"/>
    <w:rsid w:val="0037188E"/>
    <w:rsid w:val="00376353"/>
    <w:rsid w:val="00377032"/>
    <w:rsid w:val="00382B2E"/>
    <w:rsid w:val="003849DA"/>
    <w:rsid w:val="00387087"/>
    <w:rsid w:val="003975C7"/>
    <w:rsid w:val="003A22BF"/>
    <w:rsid w:val="003A25C4"/>
    <w:rsid w:val="003B3D0B"/>
    <w:rsid w:val="003B690D"/>
    <w:rsid w:val="003B7B2F"/>
    <w:rsid w:val="003C2E99"/>
    <w:rsid w:val="003D17A8"/>
    <w:rsid w:val="003D3F5C"/>
    <w:rsid w:val="003D4094"/>
    <w:rsid w:val="003D5719"/>
    <w:rsid w:val="003F6846"/>
    <w:rsid w:val="00405972"/>
    <w:rsid w:val="004078AB"/>
    <w:rsid w:val="00412C53"/>
    <w:rsid w:val="00412E28"/>
    <w:rsid w:val="00414240"/>
    <w:rsid w:val="00422B64"/>
    <w:rsid w:val="00423A19"/>
    <w:rsid w:val="00424FDA"/>
    <w:rsid w:val="00425FC2"/>
    <w:rsid w:val="004260E7"/>
    <w:rsid w:val="0043462E"/>
    <w:rsid w:val="00453308"/>
    <w:rsid w:val="0046402B"/>
    <w:rsid w:val="00464334"/>
    <w:rsid w:val="00465895"/>
    <w:rsid w:val="00474D09"/>
    <w:rsid w:val="0047650C"/>
    <w:rsid w:val="00477B0A"/>
    <w:rsid w:val="004802A0"/>
    <w:rsid w:val="00493477"/>
    <w:rsid w:val="004A1CBA"/>
    <w:rsid w:val="004B122E"/>
    <w:rsid w:val="004B3141"/>
    <w:rsid w:val="004B42F8"/>
    <w:rsid w:val="004B475D"/>
    <w:rsid w:val="004E4308"/>
    <w:rsid w:val="004E601A"/>
    <w:rsid w:val="004E71BB"/>
    <w:rsid w:val="004F0B86"/>
    <w:rsid w:val="004F1896"/>
    <w:rsid w:val="004F3766"/>
    <w:rsid w:val="00500065"/>
    <w:rsid w:val="00501F81"/>
    <w:rsid w:val="00503FA3"/>
    <w:rsid w:val="00515A53"/>
    <w:rsid w:val="005162C6"/>
    <w:rsid w:val="00526055"/>
    <w:rsid w:val="00526141"/>
    <w:rsid w:val="00527A71"/>
    <w:rsid w:val="00527D95"/>
    <w:rsid w:val="00536620"/>
    <w:rsid w:val="0053703A"/>
    <w:rsid w:val="00537D80"/>
    <w:rsid w:val="0054244A"/>
    <w:rsid w:val="0055272F"/>
    <w:rsid w:val="00563975"/>
    <w:rsid w:val="005737C0"/>
    <w:rsid w:val="00574823"/>
    <w:rsid w:val="005771B7"/>
    <w:rsid w:val="00582263"/>
    <w:rsid w:val="0058275E"/>
    <w:rsid w:val="00582875"/>
    <w:rsid w:val="00585C4A"/>
    <w:rsid w:val="00586BD5"/>
    <w:rsid w:val="00590192"/>
    <w:rsid w:val="005973C7"/>
    <w:rsid w:val="005B2F3D"/>
    <w:rsid w:val="005B38D0"/>
    <w:rsid w:val="005C5F94"/>
    <w:rsid w:val="005E1D2F"/>
    <w:rsid w:val="005E4AAC"/>
    <w:rsid w:val="005E5737"/>
    <w:rsid w:val="005E7C56"/>
    <w:rsid w:val="005F5075"/>
    <w:rsid w:val="00603A26"/>
    <w:rsid w:val="006064E8"/>
    <w:rsid w:val="006127E3"/>
    <w:rsid w:val="00612CF4"/>
    <w:rsid w:val="006158D9"/>
    <w:rsid w:val="00625969"/>
    <w:rsid w:val="00637F9E"/>
    <w:rsid w:val="0064071A"/>
    <w:rsid w:val="006425D3"/>
    <w:rsid w:val="00643E69"/>
    <w:rsid w:val="0064467A"/>
    <w:rsid w:val="00645B35"/>
    <w:rsid w:val="006513F2"/>
    <w:rsid w:val="00661ACD"/>
    <w:rsid w:val="006671BA"/>
    <w:rsid w:val="006738DA"/>
    <w:rsid w:val="006774F6"/>
    <w:rsid w:val="00690F6E"/>
    <w:rsid w:val="006A22C1"/>
    <w:rsid w:val="006A6CCF"/>
    <w:rsid w:val="006A70E3"/>
    <w:rsid w:val="006B5707"/>
    <w:rsid w:val="006C1E14"/>
    <w:rsid w:val="006C3870"/>
    <w:rsid w:val="006C4C9C"/>
    <w:rsid w:val="006C558B"/>
    <w:rsid w:val="006C7781"/>
    <w:rsid w:val="006D12C4"/>
    <w:rsid w:val="006D2CCC"/>
    <w:rsid w:val="006D35C6"/>
    <w:rsid w:val="006E02DB"/>
    <w:rsid w:val="006E24A1"/>
    <w:rsid w:val="006E37AD"/>
    <w:rsid w:val="006E4A61"/>
    <w:rsid w:val="006E76DD"/>
    <w:rsid w:val="006E7F33"/>
    <w:rsid w:val="006F5223"/>
    <w:rsid w:val="00705C69"/>
    <w:rsid w:val="00734635"/>
    <w:rsid w:val="00746D7C"/>
    <w:rsid w:val="00755044"/>
    <w:rsid w:val="00763B59"/>
    <w:rsid w:val="007679DE"/>
    <w:rsid w:val="00771806"/>
    <w:rsid w:val="0077417A"/>
    <w:rsid w:val="0077606B"/>
    <w:rsid w:val="00776CF8"/>
    <w:rsid w:val="007778CF"/>
    <w:rsid w:val="007803EF"/>
    <w:rsid w:val="00782AC3"/>
    <w:rsid w:val="00794D00"/>
    <w:rsid w:val="007A5CF1"/>
    <w:rsid w:val="007B4B7A"/>
    <w:rsid w:val="007B72D2"/>
    <w:rsid w:val="007B7338"/>
    <w:rsid w:val="007B7475"/>
    <w:rsid w:val="007C3BDD"/>
    <w:rsid w:val="007C4E44"/>
    <w:rsid w:val="007D3731"/>
    <w:rsid w:val="007D4DF7"/>
    <w:rsid w:val="007E24C5"/>
    <w:rsid w:val="007E2675"/>
    <w:rsid w:val="007E5B15"/>
    <w:rsid w:val="008045ED"/>
    <w:rsid w:val="00805350"/>
    <w:rsid w:val="0080672C"/>
    <w:rsid w:val="008071C7"/>
    <w:rsid w:val="00807AB2"/>
    <w:rsid w:val="008146FB"/>
    <w:rsid w:val="00815F24"/>
    <w:rsid w:val="00817050"/>
    <w:rsid w:val="008229B3"/>
    <w:rsid w:val="00825784"/>
    <w:rsid w:val="008276B9"/>
    <w:rsid w:val="0083747B"/>
    <w:rsid w:val="00846C5B"/>
    <w:rsid w:val="008512FB"/>
    <w:rsid w:val="0085182A"/>
    <w:rsid w:val="00853B08"/>
    <w:rsid w:val="008712C4"/>
    <w:rsid w:val="00875D88"/>
    <w:rsid w:val="00877E35"/>
    <w:rsid w:val="008824A4"/>
    <w:rsid w:val="0088390D"/>
    <w:rsid w:val="00894F6B"/>
    <w:rsid w:val="00896F5E"/>
    <w:rsid w:val="008A1B99"/>
    <w:rsid w:val="008A3D51"/>
    <w:rsid w:val="008B4889"/>
    <w:rsid w:val="008C246F"/>
    <w:rsid w:val="008C3E08"/>
    <w:rsid w:val="008C5E47"/>
    <w:rsid w:val="008D02DC"/>
    <w:rsid w:val="008D5096"/>
    <w:rsid w:val="008D5777"/>
    <w:rsid w:val="008D71A7"/>
    <w:rsid w:val="008E5CB0"/>
    <w:rsid w:val="008F6F08"/>
    <w:rsid w:val="008F6F15"/>
    <w:rsid w:val="00901FCA"/>
    <w:rsid w:val="00911574"/>
    <w:rsid w:val="0091160A"/>
    <w:rsid w:val="00923904"/>
    <w:rsid w:val="00932DE5"/>
    <w:rsid w:val="00946639"/>
    <w:rsid w:val="009506D9"/>
    <w:rsid w:val="009564F5"/>
    <w:rsid w:val="00956D8B"/>
    <w:rsid w:val="009579F2"/>
    <w:rsid w:val="00967C73"/>
    <w:rsid w:val="00970F26"/>
    <w:rsid w:val="00970F5E"/>
    <w:rsid w:val="00980396"/>
    <w:rsid w:val="009929F6"/>
    <w:rsid w:val="009A0A75"/>
    <w:rsid w:val="009A20AD"/>
    <w:rsid w:val="009A335E"/>
    <w:rsid w:val="009B035E"/>
    <w:rsid w:val="009B3091"/>
    <w:rsid w:val="009C63F6"/>
    <w:rsid w:val="009D679D"/>
    <w:rsid w:val="009D7B30"/>
    <w:rsid w:val="009E1EC1"/>
    <w:rsid w:val="009F2428"/>
    <w:rsid w:val="009F7B16"/>
    <w:rsid w:val="00A0163B"/>
    <w:rsid w:val="00A01A7B"/>
    <w:rsid w:val="00A03B85"/>
    <w:rsid w:val="00A05FE0"/>
    <w:rsid w:val="00A07759"/>
    <w:rsid w:val="00A24B94"/>
    <w:rsid w:val="00A307B2"/>
    <w:rsid w:val="00A31063"/>
    <w:rsid w:val="00A36418"/>
    <w:rsid w:val="00A42201"/>
    <w:rsid w:val="00A5075E"/>
    <w:rsid w:val="00A5117B"/>
    <w:rsid w:val="00A61F35"/>
    <w:rsid w:val="00A71A69"/>
    <w:rsid w:val="00A739D0"/>
    <w:rsid w:val="00A85E3C"/>
    <w:rsid w:val="00A90963"/>
    <w:rsid w:val="00A9305C"/>
    <w:rsid w:val="00A95B6E"/>
    <w:rsid w:val="00AA32E6"/>
    <w:rsid w:val="00AB10F9"/>
    <w:rsid w:val="00AB23A0"/>
    <w:rsid w:val="00AB49F3"/>
    <w:rsid w:val="00AB4A40"/>
    <w:rsid w:val="00AB56EE"/>
    <w:rsid w:val="00AC11D3"/>
    <w:rsid w:val="00AC4693"/>
    <w:rsid w:val="00AC6FA7"/>
    <w:rsid w:val="00AD150C"/>
    <w:rsid w:val="00AD2D36"/>
    <w:rsid w:val="00AE17C9"/>
    <w:rsid w:val="00AF42BE"/>
    <w:rsid w:val="00AF5395"/>
    <w:rsid w:val="00B01998"/>
    <w:rsid w:val="00B02D3E"/>
    <w:rsid w:val="00B03C8E"/>
    <w:rsid w:val="00B06F18"/>
    <w:rsid w:val="00B12B1A"/>
    <w:rsid w:val="00B24705"/>
    <w:rsid w:val="00B3111E"/>
    <w:rsid w:val="00B434AC"/>
    <w:rsid w:val="00B50617"/>
    <w:rsid w:val="00B564C6"/>
    <w:rsid w:val="00B64CC1"/>
    <w:rsid w:val="00B65F72"/>
    <w:rsid w:val="00B70897"/>
    <w:rsid w:val="00B70B84"/>
    <w:rsid w:val="00B71341"/>
    <w:rsid w:val="00B8622D"/>
    <w:rsid w:val="00B87666"/>
    <w:rsid w:val="00B93526"/>
    <w:rsid w:val="00BB3475"/>
    <w:rsid w:val="00BB51BE"/>
    <w:rsid w:val="00BB5DCA"/>
    <w:rsid w:val="00BC1AEE"/>
    <w:rsid w:val="00BC7C95"/>
    <w:rsid w:val="00BD3AD6"/>
    <w:rsid w:val="00BD55BB"/>
    <w:rsid w:val="00BD7F75"/>
    <w:rsid w:val="00BF0DD5"/>
    <w:rsid w:val="00BF41B4"/>
    <w:rsid w:val="00BF5E71"/>
    <w:rsid w:val="00C106A8"/>
    <w:rsid w:val="00C1346C"/>
    <w:rsid w:val="00C247EF"/>
    <w:rsid w:val="00C309F6"/>
    <w:rsid w:val="00C334B5"/>
    <w:rsid w:val="00C337E5"/>
    <w:rsid w:val="00C34D9E"/>
    <w:rsid w:val="00C36B4F"/>
    <w:rsid w:val="00C46BB7"/>
    <w:rsid w:val="00C51F65"/>
    <w:rsid w:val="00C601B2"/>
    <w:rsid w:val="00C6128B"/>
    <w:rsid w:val="00C67A00"/>
    <w:rsid w:val="00C72388"/>
    <w:rsid w:val="00C82007"/>
    <w:rsid w:val="00C8470B"/>
    <w:rsid w:val="00C864FF"/>
    <w:rsid w:val="00C86EA6"/>
    <w:rsid w:val="00C8726A"/>
    <w:rsid w:val="00C90136"/>
    <w:rsid w:val="00C929FE"/>
    <w:rsid w:val="00C94FF8"/>
    <w:rsid w:val="00CA1F8A"/>
    <w:rsid w:val="00CA7ABA"/>
    <w:rsid w:val="00CC0EB4"/>
    <w:rsid w:val="00CD1032"/>
    <w:rsid w:val="00CD3602"/>
    <w:rsid w:val="00CE0B93"/>
    <w:rsid w:val="00CE1908"/>
    <w:rsid w:val="00CE4D1B"/>
    <w:rsid w:val="00CE6366"/>
    <w:rsid w:val="00CE6552"/>
    <w:rsid w:val="00CF4ED4"/>
    <w:rsid w:val="00CF5F3D"/>
    <w:rsid w:val="00D036AA"/>
    <w:rsid w:val="00D05FCF"/>
    <w:rsid w:val="00D12011"/>
    <w:rsid w:val="00D1329A"/>
    <w:rsid w:val="00D20D94"/>
    <w:rsid w:val="00D25216"/>
    <w:rsid w:val="00D37E6F"/>
    <w:rsid w:val="00D41A52"/>
    <w:rsid w:val="00D53022"/>
    <w:rsid w:val="00D53A71"/>
    <w:rsid w:val="00D6219F"/>
    <w:rsid w:val="00D6435E"/>
    <w:rsid w:val="00D64B2F"/>
    <w:rsid w:val="00D6624B"/>
    <w:rsid w:val="00D677E0"/>
    <w:rsid w:val="00D716E0"/>
    <w:rsid w:val="00D7334F"/>
    <w:rsid w:val="00D76F29"/>
    <w:rsid w:val="00D77212"/>
    <w:rsid w:val="00D8226F"/>
    <w:rsid w:val="00D92141"/>
    <w:rsid w:val="00DA0381"/>
    <w:rsid w:val="00DA58EF"/>
    <w:rsid w:val="00DC086C"/>
    <w:rsid w:val="00DC2A68"/>
    <w:rsid w:val="00DC46E9"/>
    <w:rsid w:val="00DC4B03"/>
    <w:rsid w:val="00DD5245"/>
    <w:rsid w:val="00DD7D59"/>
    <w:rsid w:val="00DE71D7"/>
    <w:rsid w:val="00DF0954"/>
    <w:rsid w:val="00DF69E0"/>
    <w:rsid w:val="00E029B7"/>
    <w:rsid w:val="00E05DBC"/>
    <w:rsid w:val="00E1192F"/>
    <w:rsid w:val="00E13BD4"/>
    <w:rsid w:val="00E159E3"/>
    <w:rsid w:val="00E15D0C"/>
    <w:rsid w:val="00E23940"/>
    <w:rsid w:val="00E304F1"/>
    <w:rsid w:val="00E404AA"/>
    <w:rsid w:val="00E41C1A"/>
    <w:rsid w:val="00E476DA"/>
    <w:rsid w:val="00E53ED4"/>
    <w:rsid w:val="00E660E6"/>
    <w:rsid w:val="00E746A4"/>
    <w:rsid w:val="00E773E1"/>
    <w:rsid w:val="00E838B7"/>
    <w:rsid w:val="00E847E8"/>
    <w:rsid w:val="00E85309"/>
    <w:rsid w:val="00E878F0"/>
    <w:rsid w:val="00E90FC4"/>
    <w:rsid w:val="00E9253C"/>
    <w:rsid w:val="00E92AF1"/>
    <w:rsid w:val="00E93EF1"/>
    <w:rsid w:val="00E942B1"/>
    <w:rsid w:val="00E95A1E"/>
    <w:rsid w:val="00EA05C1"/>
    <w:rsid w:val="00EA2471"/>
    <w:rsid w:val="00EA2830"/>
    <w:rsid w:val="00EA5932"/>
    <w:rsid w:val="00EB3DD3"/>
    <w:rsid w:val="00EC0217"/>
    <w:rsid w:val="00EC42AA"/>
    <w:rsid w:val="00ED26D0"/>
    <w:rsid w:val="00ED29C0"/>
    <w:rsid w:val="00ED4365"/>
    <w:rsid w:val="00ED612F"/>
    <w:rsid w:val="00EE151E"/>
    <w:rsid w:val="00EE1A7D"/>
    <w:rsid w:val="00EF5DDA"/>
    <w:rsid w:val="00EF6F0F"/>
    <w:rsid w:val="00F078F7"/>
    <w:rsid w:val="00F1279E"/>
    <w:rsid w:val="00F313D2"/>
    <w:rsid w:val="00F367E8"/>
    <w:rsid w:val="00F411B2"/>
    <w:rsid w:val="00F452ED"/>
    <w:rsid w:val="00F56934"/>
    <w:rsid w:val="00F65350"/>
    <w:rsid w:val="00F77DC6"/>
    <w:rsid w:val="00F80876"/>
    <w:rsid w:val="00F86E5C"/>
    <w:rsid w:val="00FA2C72"/>
    <w:rsid w:val="00FA3387"/>
    <w:rsid w:val="00FA6E82"/>
    <w:rsid w:val="00FB536B"/>
    <w:rsid w:val="00FB5616"/>
    <w:rsid w:val="00FB56FF"/>
    <w:rsid w:val="00FB64A4"/>
    <w:rsid w:val="00FD4C89"/>
    <w:rsid w:val="00FD5CD6"/>
    <w:rsid w:val="00FE2CD5"/>
    <w:rsid w:val="00FE58FD"/>
    <w:rsid w:val="00FF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7E881B"/>
  <w15:chartTrackingRefBased/>
  <w15:docId w15:val="{E29FDCD8-C816-44DA-9672-6BB041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C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C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C5B"/>
    <w:rPr>
      <w:i/>
      <w:iCs/>
      <w:color w:val="404040" w:themeColor="text1" w:themeTint="BF"/>
    </w:rPr>
  </w:style>
  <w:style w:type="paragraph" w:styleId="Prrafodelista">
    <w:name w:val="List Paragraph"/>
    <w:aliases w:val="Viñeta normal,Lista 123,Number List 1,Ha,TITULO A,ct parrafo,Párrafo,Nivel 3,Akapit z listą BS,List_Paragraph,Multilevel para_II,List Paragraph1,Bullet1,Main numbered paragraph,Titulo de Fígura,Nota pie de cuadro,Cuadro 2-1,Titulo 1,lp1"/>
    <w:basedOn w:val="Normal"/>
    <w:link w:val="PrrafodelistaCar"/>
    <w:uiPriority w:val="34"/>
    <w:qFormat/>
    <w:rsid w:val="00846C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C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C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C5B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Viñeta normal Car,Lista 123 Car,Number List 1 Car,Ha Car,TITULO A Car,ct parrafo Car,Párrafo Car,Nivel 3 Car,Akapit z listą BS Car,List_Paragraph Car,Multilevel para_II Car,List Paragraph1 Car,Bullet1 Car,Main numbered paragraph Car"/>
    <w:link w:val="Prrafodelista"/>
    <w:uiPriority w:val="34"/>
    <w:qFormat/>
    <w:locked/>
    <w:rsid w:val="0008797B"/>
  </w:style>
  <w:style w:type="paragraph" w:styleId="Descripcin">
    <w:name w:val="caption"/>
    <w:basedOn w:val="Normal"/>
    <w:next w:val="Normal"/>
    <w:uiPriority w:val="35"/>
    <w:unhideWhenUsed/>
    <w:qFormat/>
    <w:rsid w:val="0008797B"/>
    <w:pPr>
      <w:spacing w:after="200" w:line="240" w:lineRule="auto"/>
    </w:pPr>
    <w:rPr>
      <w:rFonts w:eastAsia="Times New Roman" w:cs="Times New Roman"/>
      <w:i/>
      <w:iCs/>
      <w:color w:val="0E2841" w:themeColor="text2"/>
      <w:kern w:val="2"/>
      <w:sz w:val="18"/>
      <w:szCs w:val="18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C94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F8"/>
  </w:style>
  <w:style w:type="paragraph" w:styleId="Piedepgina">
    <w:name w:val="footer"/>
    <w:basedOn w:val="Normal"/>
    <w:link w:val="PiedepginaCar"/>
    <w:uiPriority w:val="99"/>
    <w:unhideWhenUsed/>
    <w:rsid w:val="00C94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F8"/>
  </w:style>
  <w:style w:type="table" w:styleId="Tablaconcuadrcula">
    <w:name w:val="Table Grid"/>
    <w:basedOn w:val="Tablanormal"/>
    <w:uiPriority w:val="59"/>
    <w:qFormat/>
    <w:rsid w:val="00AC6FA7"/>
    <w:pPr>
      <w:spacing w:after="0" w:line="240" w:lineRule="auto"/>
    </w:pPr>
    <w:rPr>
      <w:rFonts w:eastAsia="Times New Roman" w:cs="Times New Roman"/>
      <w:kern w:val="2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C6FA7"/>
    <w:rPr>
      <w:b/>
      <w:bCs/>
    </w:rPr>
  </w:style>
  <w:style w:type="table" w:styleId="Tablaconcuadrculaclara">
    <w:name w:val="Grid Table Light"/>
    <w:basedOn w:val="Tablanormal"/>
    <w:uiPriority w:val="40"/>
    <w:rsid w:val="008D50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aconvietas">
    <w:name w:val="List Bullet"/>
    <w:basedOn w:val="Normal"/>
    <w:uiPriority w:val="99"/>
    <w:unhideWhenUsed/>
    <w:rsid w:val="00980396"/>
    <w:pPr>
      <w:numPr>
        <w:numId w:val="14"/>
      </w:numPr>
      <w:tabs>
        <w:tab w:val="clear" w:pos="360"/>
      </w:tabs>
      <w:spacing w:after="80" w:line="240" w:lineRule="auto"/>
      <w:ind w:left="0" w:firstLine="0"/>
      <w:contextualSpacing/>
    </w:pPr>
    <w:rPr>
      <w:rFonts w:ascii="Arial" w:eastAsia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8F494-AF7D-438E-B8D7-53E653445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5</Pages>
  <Words>1069</Words>
  <Characters>5882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VISIÓN INTEGRAL DE LOS MÓDULOS</vt:lpstr>
      <vt:lpstr>7.1. Módulo de Registro del Proyecto</vt:lpstr>
      <vt:lpstr>7.2. Módulos de Diagnóstico y Regularización</vt:lpstr>
      <vt:lpstr/>
      <vt:lpstr>7.3. Módulo de Gestión de la Tasación</vt:lpstr>
      <vt:lpstr/>
      <vt:lpstr>Calcula el valor de tasación del predio, sus edificaciones, obras complementaria</vt:lpstr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CBIM</dc:creator>
  <cp:keywords/>
  <dc:description/>
  <cp:lastModifiedBy>Calin</cp:lastModifiedBy>
  <cp:revision>61</cp:revision>
  <dcterms:created xsi:type="dcterms:W3CDTF">2026-05-26T21:49:00Z</dcterms:created>
  <dcterms:modified xsi:type="dcterms:W3CDTF">2026-06-04T17:00:00Z</dcterms:modified>
</cp:coreProperties>
</file>