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BB46" w14:textId="2C08EDE0" w:rsidR="0058699A" w:rsidRPr="0058699A" w:rsidRDefault="0058699A" w:rsidP="0058699A">
      <w:pPr>
        <w:jc w:val="both"/>
        <w:rPr>
          <w:b/>
          <w:bCs/>
          <w:sz w:val="20"/>
          <w:szCs w:val="20"/>
        </w:rPr>
      </w:pPr>
      <w:r w:rsidRPr="0058699A">
        <w:rPr>
          <w:b/>
          <w:bCs/>
          <w:sz w:val="20"/>
          <w:szCs w:val="20"/>
        </w:rPr>
        <w:t>TRATO DIRECTO</w:t>
      </w:r>
    </w:p>
    <w:p w14:paraId="6C332F63" w14:textId="77777777" w:rsidR="0058699A" w:rsidRPr="0058699A" w:rsidRDefault="0058699A" w:rsidP="0058699A">
      <w:pPr>
        <w:jc w:val="both"/>
        <w:rPr>
          <w:b/>
          <w:bCs/>
          <w:sz w:val="20"/>
          <w:szCs w:val="20"/>
        </w:rPr>
      </w:pPr>
    </w:p>
    <w:p w14:paraId="39DF9CC0" w14:textId="77777777" w:rsidR="0058699A" w:rsidRDefault="0058699A" w:rsidP="0058699A">
      <w:pPr>
        <w:jc w:val="both"/>
        <w:rPr>
          <w:sz w:val="20"/>
          <w:szCs w:val="20"/>
        </w:rPr>
      </w:pPr>
      <w:r w:rsidRPr="0058699A">
        <w:rPr>
          <w:sz w:val="20"/>
          <w:szCs w:val="20"/>
        </w:rPr>
        <w:t xml:space="preserve">El </w:t>
      </w:r>
      <w:r w:rsidRPr="0058699A">
        <w:rPr>
          <w:b/>
          <w:bCs/>
          <w:sz w:val="20"/>
          <w:szCs w:val="20"/>
        </w:rPr>
        <w:t>módulo de Trato Directo</w:t>
      </w:r>
      <w:r w:rsidRPr="0058699A">
        <w:rPr>
          <w:sz w:val="20"/>
          <w:szCs w:val="20"/>
        </w:rPr>
        <w:t xml:space="preserve"> tiene como objetivo gestionar la adquisición voluntaria de predios entre el Sujeto Activo y el Sujeto Pasivo para la ejecución de obras de infraestructura. Este módulo se activa en el sistema únicamente cuando el propietario (sujeto pasivo) recibe la carta de intención de adquisición y manifiesta su conformidad expresa para transferir el inmueble. De esta manera, el sistema centraliza y formaliza la adquisición entendida como una transferencia de mutuo acuerdo.</w:t>
      </w:r>
    </w:p>
    <w:p w14:paraId="4F5F4624" w14:textId="77777777" w:rsidR="0058699A" w:rsidRPr="0058699A" w:rsidRDefault="0058699A" w:rsidP="0058699A">
      <w:pPr>
        <w:jc w:val="both"/>
        <w:rPr>
          <w:sz w:val="20"/>
          <w:szCs w:val="20"/>
        </w:rPr>
      </w:pPr>
    </w:p>
    <w:p w14:paraId="528D32B6" w14:textId="77777777" w:rsidR="0058699A" w:rsidRDefault="0058699A" w:rsidP="0058699A">
      <w:pPr>
        <w:jc w:val="both"/>
        <w:rPr>
          <w:sz w:val="20"/>
          <w:szCs w:val="20"/>
        </w:rPr>
      </w:pPr>
      <w:r w:rsidRPr="0058699A">
        <w:rPr>
          <w:sz w:val="20"/>
          <w:szCs w:val="20"/>
        </w:rPr>
        <w:t xml:space="preserve">Para que el sistema permita cambiar el estado del predio a "Adquisición por Trato Directo" o "Aprobado para Trato Directo", ejecuta </w:t>
      </w:r>
      <w:r w:rsidRPr="0058699A">
        <w:rPr>
          <w:b/>
          <w:bCs/>
          <w:sz w:val="20"/>
          <w:szCs w:val="20"/>
        </w:rPr>
        <w:t>validaciones obligatorias previas</w:t>
      </w:r>
      <w:r w:rsidRPr="0058699A">
        <w:rPr>
          <w:sz w:val="20"/>
          <w:szCs w:val="20"/>
        </w:rPr>
        <w:t>. El sistema debe confirmar que exista una tasación registrada y vigente en la base de datos, que la carta de intención se haya emitido sustentada en el informe técnico de dicha tasación, y que esta haya sido aceptada. Esta validación es estricta porque el valor comercial tasado del inmueble es el insumo principal sobre el cual el sistema iniciará el cálculo del monto final y sus beneficios.</w:t>
      </w:r>
    </w:p>
    <w:p w14:paraId="0B26E687" w14:textId="77777777" w:rsidR="0058699A" w:rsidRPr="0058699A" w:rsidRDefault="0058699A" w:rsidP="0058699A">
      <w:pPr>
        <w:jc w:val="both"/>
        <w:rPr>
          <w:sz w:val="20"/>
          <w:szCs w:val="20"/>
        </w:rPr>
      </w:pPr>
    </w:p>
    <w:p w14:paraId="0DDF5C78" w14:textId="77777777" w:rsidR="0058699A" w:rsidRDefault="0058699A" w:rsidP="0058699A">
      <w:pPr>
        <w:jc w:val="both"/>
        <w:rPr>
          <w:sz w:val="20"/>
          <w:szCs w:val="20"/>
        </w:rPr>
      </w:pPr>
      <w:r w:rsidRPr="0058699A">
        <w:rPr>
          <w:sz w:val="20"/>
          <w:szCs w:val="20"/>
        </w:rPr>
        <w:t xml:space="preserve">El sistema cuenta con un motor de cálculo que aplica </w:t>
      </w:r>
      <w:r w:rsidRPr="0058699A">
        <w:rPr>
          <w:b/>
          <w:bCs/>
          <w:sz w:val="20"/>
          <w:szCs w:val="20"/>
        </w:rPr>
        <w:t>reglas de negocio diferenciadas para los incentivos</w:t>
      </w:r>
      <w:r w:rsidRPr="0058699A">
        <w:rPr>
          <w:sz w:val="20"/>
          <w:szCs w:val="20"/>
        </w:rPr>
        <w:t xml:space="preserve">, formalizando el acuerdo mediante la generación o carga del Formulario Registral. En el </w:t>
      </w:r>
      <w:r w:rsidRPr="0058699A">
        <w:rPr>
          <w:i/>
          <w:iCs/>
          <w:sz w:val="20"/>
          <w:szCs w:val="20"/>
        </w:rPr>
        <w:t>procedimiento regular</w:t>
      </w:r>
      <w:r w:rsidRPr="0058699A">
        <w:rPr>
          <w:sz w:val="20"/>
          <w:szCs w:val="20"/>
        </w:rPr>
        <w:t xml:space="preserve">, el sistema calcula el precio de adquisición aplicando un incentivo automático del 20% (valor tasado × 1.20). En el </w:t>
      </w:r>
      <w:r w:rsidRPr="0058699A">
        <w:rPr>
          <w:i/>
          <w:iCs/>
          <w:sz w:val="20"/>
          <w:szCs w:val="20"/>
        </w:rPr>
        <w:t>procedimiento especial de liberación de áreas en bloque</w:t>
      </w:r>
      <w:r w:rsidRPr="0058699A">
        <w:rPr>
          <w:sz w:val="20"/>
          <w:szCs w:val="20"/>
        </w:rPr>
        <w:t>, las reglas cambian: el sistema otorga un 30% si el usuario acepta el trato directo y la entrega anticipada, o un 20% si acepta el trato directo sin entrega anticipada. Además, si la entrega de posesión ocurre dentro del plazo, el sistema suma una compensación adicional del 10% del valor del terreno (con un tope mínimo de 1 UIT y máximo de 6 UIT).</w:t>
      </w:r>
    </w:p>
    <w:p w14:paraId="6AAD240A" w14:textId="77777777" w:rsidR="0058699A" w:rsidRPr="0058699A" w:rsidRDefault="0058699A" w:rsidP="0058699A">
      <w:pPr>
        <w:jc w:val="both"/>
        <w:rPr>
          <w:sz w:val="20"/>
          <w:szCs w:val="20"/>
        </w:rPr>
      </w:pPr>
    </w:p>
    <w:p w14:paraId="4CEB0DBB" w14:textId="77777777" w:rsidR="0058699A" w:rsidRDefault="0058699A" w:rsidP="0058699A">
      <w:pPr>
        <w:jc w:val="both"/>
        <w:rPr>
          <w:sz w:val="20"/>
          <w:szCs w:val="20"/>
        </w:rPr>
      </w:pPr>
      <w:r w:rsidRPr="0058699A">
        <w:rPr>
          <w:sz w:val="20"/>
          <w:szCs w:val="20"/>
        </w:rPr>
        <w:t xml:space="preserve">Finalmente, el módulo garantiza la </w:t>
      </w:r>
      <w:r w:rsidRPr="0058699A">
        <w:rPr>
          <w:b/>
          <w:bCs/>
          <w:sz w:val="20"/>
          <w:szCs w:val="20"/>
        </w:rPr>
        <w:t>trazabilidad y gestión operativa</w:t>
      </w:r>
      <w:r w:rsidRPr="0058699A">
        <w:rPr>
          <w:sz w:val="20"/>
          <w:szCs w:val="20"/>
        </w:rPr>
        <w:t xml:space="preserve"> del proceso. Al asignar el estado de adquisición, el sistema registra en su bitácora el usuario responsable de la acción, la fecha de aprobación, la tasación utilizada, la carta aceptada, el porcentaje aplicado y el monto final calculado. Asimismo, habilita las interfaces necesarias para la gestión de pagos, el seguimiento de la transferencia, y un panel de búsqueda con filtros específicos (tipo de adquisición, estado del proceso, porcentaje aplicado, modalidad regular o en bloque, y existencia de compensación por entrega anticipada).</w:t>
      </w:r>
    </w:p>
    <w:p w14:paraId="7EA2D1BE" w14:textId="77777777" w:rsidR="002B57EF" w:rsidRDefault="002B57EF" w:rsidP="0058699A">
      <w:pPr>
        <w:jc w:val="both"/>
        <w:rPr>
          <w:sz w:val="20"/>
          <w:szCs w:val="20"/>
        </w:rPr>
      </w:pPr>
    </w:p>
    <w:p w14:paraId="31879918" w14:textId="785BFAB6" w:rsidR="002B57EF" w:rsidRDefault="002B57EF" w:rsidP="0058699A">
      <w:pPr>
        <w:jc w:val="both"/>
        <w:rPr>
          <w:sz w:val="20"/>
          <w:szCs w:val="20"/>
        </w:rPr>
      </w:pPr>
      <w:r>
        <w:rPr>
          <w:sz w:val="20"/>
          <w:szCs w:val="20"/>
        </w:rPr>
        <w:t>Prototipo referencial: Trato Directo</w:t>
      </w:r>
    </w:p>
    <w:p w14:paraId="60E7D389" w14:textId="77777777" w:rsidR="002B57EF" w:rsidRDefault="002B57EF" w:rsidP="0058699A">
      <w:pPr>
        <w:jc w:val="both"/>
        <w:rPr>
          <w:sz w:val="20"/>
          <w:szCs w:val="20"/>
        </w:rPr>
      </w:pPr>
    </w:p>
    <w:p w14:paraId="15730EF7" w14:textId="22B9951F" w:rsidR="002B57EF" w:rsidRPr="0058699A" w:rsidRDefault="002B57EF" w:rsidP="0058699A">
      <w:pPr>
        <w:jc w:val="both"/>
        <w:rPr>
          <w:sz w:val="20"/>
          <w:szCs w:val="20"/>
        </w:rPr>
      </w:pPr>
      <w:r>
        <w:rPr>
          <w:noProof/>
          <w:sz w:val="20"/>
          <w:szCs w:val="20"/>
        </w:rPr>
        <w:lastRenderedPageBreak/>
        <w:drawing>
          <wp:inline distT="0" distB="0" distL="0" distR="0" wp14:anchorId="6BF8AA26" wp14:editId="4E6B0301">
            <wp:extent cx="6468935" cy="4312623"/>
            <wp:effectExtent l="0" t="0" r="8255" b="0"/>
            <wp:docPr id="385397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94102" cy="4329401"/>
                    </a:xfrm>
                    <a:prstGeom prst="rect">
                      <a:avLst/>
                    </a:prstGeom>
                    <a:noFill/>
                  </pic:spPr>
                </pic:pic>
              </a:graphicData>
            </a:graphic>
          </wp:inline>
        </w:drawing>
      </w:r>
    </w:p>
    <w:p w14:paraId="3705822D" w14:textId="77777777" w:rsidR="00B7624D" w:rsidRPr="0058699A" w:rsidRDefault="00B7624D" w:rsidP="0058699A">
      <w:pPr>
        <w:jc w:val="both"/>
        <w:rPr>
          <w:sz w:val="20"/>
          <w:szCs w:val="20"/>
        </w:rPr>
      </w:pPr>
    </w:p>
    <w:sectPr w:rsidR="00B7624D" w:rsidRPr="0058699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1A6D4C-22C7-4C3F-9399-1ED118CB592C}"/>
  </w:font>
  <w:font w:name="Calibri">
    <w:panose1 w:val="020F0502020204030204"/>
    <w:charset w:val="00"/>
    <w:family w:val="swiss"/>
    <w:pitch w:val="variable"/>
    <w:sig w:usb0="E4002EFF" w:usb1="C200247B" w:usb2="00000009" w:usb3="00000000" w:csb0="000001FF" w:csb1="00000000"/>
    <w:embedRegular r:id="rId2" w:fontKey="{A0021337-D6C9-4BD8-8C83-F5C19B52F46F}"/>
  </w:font>
  <w:font w:name="Cambria">
    <w:panose1 w:val="02040503050406030204"/>
    <w:charset w:val="00"/>
    <w:family w:val="roman"/>
    <w:pitch w:val="variable"/>
    <w:sig w:usb0="E00006FF" w:usb1="420024FF" w:usb2="02000000" w:usb3="00000000" w:csb0="0000019F" w:csb1="00000000"/>
    <w:embedRegular r:id="rId3" w:fontKey="{2887B611-3873-4C1C-B965-AAE0C9F5933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24D"/>
    <w:rsid w:val="001447D6"/>
    <w:rsid w:val="001C7321"/>
    <w:rsid w:val="002B57EF"/>
    <w:rsid w:val="0058699A"/>
    <w:rsid w:val="00B762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2ED1"/>
  <w15:docId w15:val="{02C952B2-CB7E-487C-A898-3737EE4E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378</Words>
  <Characters>2081</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Gamers</dc:creator>
  <cp:lastModifiedBy>a71695</cp:lastModifiedBy>
  <cp:revision>3</cp:revision>
  <dcterms:created xsi:type="dcterms:W3CDTF">2026-06-08T17:13:00Z</dcterms:created>
  <dcterms:modified xsi:type="dcterms:W3CDTF">2026-06-08T23:09:00Z</dcterms:modified>
</cp:coreProperties>
</file>