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929F" w14:textId="77777777" w:rsidR="00FE5944" w:rsidRPr="000C7899" w:rsidRDefault="00FE5944" w:rsidP="000C7899">
      <w:pPr>
        <w:jc w:val="both"/>
        <w:rPr>
          <w:b/>
          <w:bCs/>
          <w:sz w:val="20"/>
          <w:szCs w:val="20"/>
        </w:rPr>
      </w:pPr>
      <w:r w:rsidRPr="000C7899">
        <w:rPr>
          <w:b/>
          <w:bCs/>
          <w:sz w:val="20"/>
          <w:szCs w:val="20"/>
        </w:rPr>
        <w:t>EXPROPIACIÓN</w:t>
      </w:r>
    </w:p>
    <w:p w14:paraId="7AFA7EE7" w14:textId="77777777" w:rsidR="00FE5944" w:rsidRPr="000C7899" w:rsidRDefault="00FE5944" w:rsidP="000C7899">
      <w:pPr>
        <w:jc w:val="both"/>
        <w:rPr>
          <w:b/>
          <w:bCs/>
          <w:sz w:val="20"/>
          <w:szCs w:val="20"/>
        </w:rPr>
      </w:pPr>
    </w:p>
    <w:p w14:paraId="06B3B069" w14:textId="77777777" w:rsidR="00FE5944" w:rsidRPr="000C7899" w:rsidRDefault="00FE5944" w:rsidP="000C7899">
      <w:pPr>
        <w:jc w:val="both"/>
        <w:rPr>
          <w:sz w:val="20"/>
          <w:szCs w:val="20"/>
        </w:rPr>
      </w:pPr>
      <w:r w:rsidRPr="000C7899">
        <w:rPr>
          <w:sz w:val="20"/>
          <w:szCs w:val="20"/>
        </w:rPr>
        <w:t xml:space="preserve">El módulo de </w:t>
      </w:r>
      <w:r w:rsidRPr="000C7899">
        <w:rPr>
          <w:b/>
          <w:bCs/>
          <w:sz w:val="20"/>
          <w:szCs w:val="20"/>
        </w:rPr>
        <w:t>Expropiación</w:t>
      </w:r>
      <w:r w:rsidRPr="000C7899">
        <w:rPr>
          <w:sz w:val="20"/>
          <w:szCs w:val="20"/>
        </w:rPr>
        <w:t xml:space="preserve"> tiene como objetivo gestionar la transferencia forzosa del derecho de propiedad privada a favor del Estado, cuando el predio es necesario para la ejecución de una obra de infraestructura y no se concreta la adquisición por trato directo. Esta modalidad se activa cuando el Sujeto Pasivo rechaza la oferta de adquisición o cuando vence el plazo otorgado sin aceptación, siempre que exista la ley autoritativa correspondiente. A diferencia del trato directo, la expropiación no se basa en una aceptación voluntaria, sino en una necesidad pública o seguridad nacional declarada por ley y con previo pago de la indemnización justipreciada. </w:t>
      </w:r>
    </w:p>
    <w:p w14:paraId="3ABA66BF" w14:textId="77777777" w:rsidR="00FE5944" w:rsidRPr="000C7899" w:rsidRDefault="00FE5944" w:rsidP="000C7899">
      <w:pPr>
        <w:jc w:val="both"/>
        <w:rPr>
          <w:sz w:val="20"/>
          <w:szCs w:val="20"/>
        </w:rPr>
      </w:pPr>
    </w:p>
    <w:p w14:paraId="36836D09" w14:textId="1C047E3D" w:rsidR="00FE5944" w:rsidRPr="000C7899" w:rsidRDefault="00FE5944" w:rsidP="000C7899">
      <w:pPr>
        <w:jc w:val="both"/>
        <w:rPr>
          <w:sz w:val="20"/>
          <w:szCs w:val="20"/>
        </w:rPr>
      </w:pPr>
      <w:r w:rsidRPr="000C7899">
        <w:rPr>
          <w:sz w:val="20"/>
          <w:szCs w:val="20"/>
        </w:rPr>
        <w:t xml:space="preserve">Para que el sistema permita cambiar el estado del predio a </w:t>
      </w:r>
      <w:r w:rsidRPr="000C7899">
        <w:rPr>
          <w:b/>
          <w:bCs/>
          <w:sz w:val="20"/>
          <w:szCs w:val="20"/>
        </w:rPr>
        <w:t>“En proceso de Expropiación”</w:t>
      </w:r>
      <w:r w:rsidRPr="000C7899">
        <w:rPr>
          <w:sz w:val="20"/>
          <w:szCs w:val="20"/>
        </w:rPr>
        <w:t xml:space="preserve"> o </w:t>
      </w:r>
      <w:r w:rsidRPr="000C7899">
        <w:rPr>
          <w:b/>
          <w:bCs/>
          <w:sz w:val="20"/>
          <w:szCs w:val="20"/>
        </w:rPr>
        <w:t>“Expropiación aprobada”</w:t>
      </w:r>
      <w:r w:rsidRPr="000C7899">
        <w:rPr>
          <w:sz w:val="20"/>
          <w:szCs w:val="20"/>
        </w:rPr>
        <w:t>, debe validar que exista una tasación registrada y vigente, que se haya agotado o rechazado la etapa de trato directo, y que se cuente con la ley autoritativa de expropiación. La tasación es obligatoria porque determina el valor que servirá como indemnización justipreciada. En expropiación, el valor de la tasación debe tener una antigüedad no mayor a dos años al momento de expedirse la norma que aprueba la ejecución de la expropiación.</w:t>
      </w:r>
    </w:p>
    <w:p w14:paraId="027CE88A" w14:textId="77777777" w:rsidR="00FE5944" w:rsidRPr="000C7899" w:rsidRDefault="00FE5944" w:rsidP="000C7899">
      <w:pPr>
        <w:jc w:val="both"/>
        <w:rPr>
          <w:sz w:val="20"/>
          <w:szCs w:val="20"/>
        </w:rPr>
      </w:pPr>
    </w:p>
    <w:p w14:paraId="6AFAB148" w14:textId="0CF1977B" w:rsidR="00FE5944" w:rsidRPr="000C7899" w:rsidRDefault="00FE5944" w:rsidP="000C7899">
      <w:pPr>
        <w:jc w:val="both"/>
        <w:rPr>
          <w:sz w:val="20"/>
          <w:szCs w:val="20"/>
        </w:rPr>
      </w:pPr>
      <w:r w:rsidRPr="000C7899">
        <w:rPr>
          <w:sz w:val="20"/>
          <w:szCs w:val="20"/>
        </w:rPr>
        <w:t xml:space="preserve">El sistema no debe aplicar incentivos del </w:t>
      </w:r>
      <w:r w:rsidRPr="000C7899">
        <w:rPr>
          <w:b/>
          <w:bCs/>
          <w:sz w:val="20"/>
          <w:szCs w:val="20"/>
        </w:rPr>
        <w:t>20%</w:t>
      </w:r>
      <w:r w:rsidRPr="000C7899">
        <w:rPr>
          <w:sz w:val="20"/>
          <w:szCs w:val="20"/>
        </w:rPr>
        <w:t xml:space="preserve">, </w:t>
      </w:r>
      <w:r w:rsidRPr="000C7899">
        <w:rPr>
          <w:b/>
          <w:bCs/>
          <w:sz w:val="20"/>
          <w:szCs w:val="20"/>
        </w:rPr>
        <w:t>30%</w:t>
      </w:r>
      <w:r w:rsidRPr="000C7899">
        <w:rPr>
          <w:sz w:val="20"/>
          <w:szCs w:val="20"/>
        </w:rPr>
        <w:t xml:space="preserve"> ni compensación del </w:t>
      </w:r>
      <w:r w:rsidRPr="000C7899">
        <w:rPr>
          <w:b/>
          <w:bCs/>
          <w:sz w:val="20"/>
          <w:szCs w:val="20"/>
        </w:rPr>
        <w:t>10%</w:t>
      </w:r>
      <w:r w:rsidRPr="000C7899">
        <w:rPr>
          <w:sz w:val="20"/>
          <w:szCs w:val="20"/>
        </w:rPr>
        <w:t xml:space="preserve">, porque esos beneficios corresponden al trato directo y a la entrega anticipada voluntaria en liberación de áreas en bloque. En expropiación, el monto a reconocer corresponde al </w:t>
      </w:r>
      <w:r w:rsidRPr="000C7899">
        <w:rPr>
          <w:b/>
          <w:bCs/>
          <w:sz w:val="20"/>
          <w:szCs w:val="20"/>
        </w:rPr>
        <w:t>valor de la tasación</w:t>
      </w:r>
      <w:r w:rsidRPr="000C7899">
        <w:rPr>
          <w:sz w:val="20"/>
          <w:szCs w:val="20"/>
        </w:rPr>
        <w:t>, que incluye el valor comercial del inmueble y, cuando corresponda, el perjuicio económico debidamente sustentado. En el procedimiento de liberación en bloque, si el Sujeto Pasivo rechaza el trato directo o no acepta dentro del plazo, se inicia la expropiación reconociéndose únicamente el valor tasado del área afectada o, según el caso, el valor del terreno, edificaciones, plantaciones y perjuicio económico.</w:t>
      </w:r>
    </w:p>
    <w:p w14:paraId="429EE1D0" w14:textId="77777777" w:rsidR="00FE5944" w:rsidRPr="000C7899" w:rsidRDefault="00FE5944" w:rsidP="000C7899">
      <w:pPr>
        <w:jc w:val="both"/>
        <w:rPr>
          <w:sz w:val="20"/>
          <w:szCs w:val="20"/>
        </w:rPr>
      </w:pPr>
    </w:p>
    <w:p w14:paraId="2E700E25" w14:textId="77777777" w:rsidR="00FE5944" w:rsidRDefault="00FE5944" w:rsidP="000C7899">
      <w:pPr>
        <w:jc w:val="both"/>
        <w:rPr>
          <w:sz w:val="20"/>
          <w:szCs w:val="20"/>
        </w:rPr>
      </w:pPr>
      <w:r w:rsidRPr="000C7899">
        <w:rPr>
          <w:sz w:val="20"/>
          <w:szCs w:val="20"/>
        </w:rPr>
        <w:t>Finalmente, el módulo debe garantizar la trazabilidad del proceso expropiatorio. Al asignar el estado correspondiente, el sistema debe registrar el usuario responsable, fecha de cambio de estado, tasación utilizada, sustento del rechazo o vencimiento de plazo, ley autoritativa, norma que aprueba la ejecución de la expropiación, monto de indemnización justipreciada y constancia de pago o consignación. Además, debe habilitar la gestión de consignaciones, inscripción registral ante SUNARP, seguimiento de entrega del predio y filtros por estado del proceso, existencia de ley autoritativa, tasación vigente, pago o consignación realizada, inscripción registral y entrega del inmueble.</w:t>
      </w:r>
    </w:p>
    <w:p w14:paraId="33DD1851" w14:textId="77777777" w:rsidR="00556956" w:rsidRDefault="00556956" w:rsidP="000C7899">
      <w:pPr>
        <w:jc w:val="both"/>
        <w:rPr>
          <w:sz w:val="20"/>
          <w:szCs w:val="20"/>
        </w:rPr>
      </w:pPr>
    </w:p>
    <w:p w14:paraId="02BB5261" w14:textId="31006A2B" w:rsidR="00556956" w:rsidRDefault="00556956" w:rsidP="000C7899">
      <w:pPr>
        <w:jc w:val="both"/>
        <w:rPr>
          <w:sz w:val="20"/>
          <w:szCs w:val="20"/>
        </w:rPr>
      </w:pPr>
      <w:r>
        <w:rPr>
          <w:sz w:val="20"/>
          <w:szCs w:val="20"/>
        </w:rPr>
        <w:t>Prototipo referencia: Datos de la expropiación</w:t>
      </w:r>
    </w:p>
    <w:p w14:paraId="3705822D" w14:textId="7FB58518" w:rsidR="00B7624D" w:rsidRPr="000C7899" w:rsidRDefault="00556956" w:rsidP="000C7899">
      <w:pPr>
        <w:jc w:val="both"/>
        <w:rPr>
          <w:sz w:val="20"/>
          <w:szCs w:val="20"/>
        </w:rPr>
      </w:pPr>
      <w:r>
        <w:rPr>
          <w:noProof/>
          <w:sz w:val="20"/>
          <w:szCs w:val="20"/>
        </w:rPr>
        <w:drawing>
          <wp:inline distT="0" distB="0" distL="0" distR="0" wp14:anchorId="0D94DF26" wp14:editId="71BFEEB7">
            <wp:extent cx="5700156" cy="3208043"/>
            <wp:effectExtent l="0" t="0" r="0" b="0"/>
            <wp:docPr id="2571983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46076" cy="3233887"/>
                    </a:xfrm>
                    <a:prstGeom prst="rect">
                      <a:avLst/>
                    </a:prstGeom>
                    <a:noFill/>
                  </pic:spPr>
                </pic:pic>
              </a:graphicData>
            </a:graphic>
          </wp:inline>
        </w:drawing>
      </w:r>
    </w:p>
    <w:sectPr w:rsidR="00B7624D" w:rsidRPr="000C789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5B54900-93C0-475A-9AD3-BDAA8671040F}"/>
  </w:font>
  <w:font w:name="Calibri">
    <w:panose1 w:val="020F0502020204030204"/>
    <w:charset w:val="00"/>
    <w:family w:val="swiss"/>
    <w:pitch w:val="variable"/>
    <w:sig w:usb0="E4002EFF" w:usb1="C200247B" w:usb2="00000009" w:usb3="00000000" w:csb0="000001FF" w:csb1="00000000"/>
    <w:embedRegular r:id="rId2" w:fontKey="{0662B630-2CEE-4DEA-A622-784F6C636C08}"/>
  </w:font>
  <w:font w:name="Cambria">
    <w:panose1 w:val="02040503050406030204"/>
    <w:charset w:val="00"/>
    <w:family w:val="roman"/>
    <w:pitch w:val="variable"/>
    <w:sig w:usb0="E00006FF" w:usb1="420024FF" w:usb2="02000000" w:usb3="00000000" w:csb0="0000019F" w:csb1="00000000"/>
    <w:embedRegular r:id="rId3" w:fontKey="{A759E884-8D50-4C72-A953-69080627B09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24D"/>
    <w:rsid w:val="000C7899"/>
    <w:rsid w:val="001447D6"/>
    <w:rsid w:val="001C7321"/>
    <w:rsid w:val="00556956"/>
    <w:rsid w:val="0058699A"/>
    <w:rsid w:val="00B7624D"/>
    <w:rsid w:val="00FE59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2ED1"/>
  <w15:docId w15:val="{02C952B2-CB7E-487C-A898-3737EE4E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348</TotalTime>
  <Pages>1</Pages>
  <Words>408</Words>
  <Characters>2249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Gamers</dc:creator>
  <cp:lastModifiedBy>a71695</cp:lastModifiedBy>
  <cp:revision>3</cp:revision>
  <dcterms:created xsi:type="dcterms:W3CDTF">2026-06-08T23:03:00Z</dcterms:created>
  <dcterms:modified xsi:type="dcterms:W3CDTF">2026-06-08T23:16:00Z</dcterms:modified>
</cp:coreProperties>
</file>