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FFFFF" w:val="clear"/>
          </w:tcPr>
          <w:p>
            <w:pPr>
              <w:spacing w:before="4092"/>
            </w:pPr>
            <w:r>
              <w:rPr>
                <w:sz w:val="2"/>
                <w:szCs w:val="2"/>
              </w:rPr>
              <w:t xml:space="preserve"/>
            </w:r>
          </w:p>
          <w:p>
            <w:pPr>
              <w:pBdr>
                <w:bottom w:val="single" w:color="007847" w:sz="6" w:space="8"/>
              </w:pBdr>
              <w:spacing w:after="500"/>
              <w:ind w:left="1200" w:right="800"/>
            </w:pPr>
            <w:r>
              <w:rPr>
                <w:rFonts w:ascii="Calibri"/>
                <w:b/>
                <w:bCs/>
                <w:color w:val="007847"/>
                <w:spacing w:val="40"/>
                <w:sz w:val="18"/>
                <w:szCs w:val="18"/>
              </w:rPr>
              <w:t xml:space="preserve">S  T  R  A  T  E  G  I  C     P  R  O  P  O  S  A  L</w:t>
            </w:r>
          </w:p>
          <w:p>
            <w:pPr>
              <w:spacing w:after="100" w:line="920" w:lineRule="atLeast"/>
              <w:ind w:left="1200"/>
            </w:pPr>
            <w:r>
              <w:rPr>
                <w:rFonts w:ascii="Arial"/>
                <w:b/>
                <w:bCs/>
                <w:color w:val="0F2B1C"/>
                <w:sz w:val="80"/>
                <w:szCs w:val="80"/>
              </w:rPr>
              <w:t xml:space="preserve">APC State Campaign</w:t>
            </w:r>
          </w:p>
          <w:p>
            <w:pPr>
              <w:spacing w:after="300" w:line="920" w:lineRule="atLeast"/>
              <w:ind w:left="1200"/>
            </w:pPr>
            <w:r>
              <w:rPr>
                <w:rFonts w:ascii="Arial"/>
                <w:b/>
                <w:bCs/>
                <w:color w:val="0F2B1C"/>
                <w:sz w:val="80"/>
                <w:szCs w:val="80"/>
              </w:rPr>
              <w:t xml:space="preserve">Office Solution</w:t>
            </w:r>
          </w:p>
          <w:p>
            <w:pPr>
              <w:spacing w:after="800"/>
              <w:ind w:left="1200"/>
            </w:pPr>
            <w:r>
              <w:rPr>
                <w:rFonts w:ascii="Calibri"/>
                <w:i/>
                <w:iCs/>
                <w:color w:val="3D6B52"/>
                <w:sz w:val="24"/>
                <w:szCs w:val="24"/>
              </w:rPr>
              <w:t xml:space="preserve">A Comprehensive Proposal for Modern Campaign Infrastructure</w:t>
            </w:r>
          </w:p>
          <w:p>
            <w:pPr>
              <w:pBdr>
                <w:left w:val="single" w:color="007847" w:sz="8" w:space="12"/>
              </w:pBdr>
              <w:spacing w:after="80"/>
              <w:ind w:left="1400"/>
            </w:pPr>
            <w:r>
              <w:rPr>
                <w:rFonts w:ascii="Calibri"/>
                <w:color w:val="5A7D68"/>
                <w:sz w:val="22"/>
                <w:szCs w:val="22"/>
              </w:rPr>
              <w:t xml:space="preserve">All Progressives Congress (APC)</w:t>
            </w:r>
          </w:p>
          <w:p>
            <w:pPr>
              <w:pBdr>
                <w:left w:val="single" w:color="007847" w:sz="8" w:space="12"/>
              </w:pBdr>
              <w:spacing w:after="80"/>
              <w:ind w:left="1400"/>
            </w:pPr>
            <w:r>
              <w:rPr>
                <w:rFonts w:ascii="Calibri"/>
                <w:color w:val="5A7D68"/>
                <w:sz w:val="22"/>
                <w:szCs w:val="22"/>
              </w:rPr>
              <w:t xml:space="preserve">State Campaign Directorate</w:t>
            </w:r>
          </w:p>
          <w:p>
            <w:pPr>
              <w:pBdr>
                <w:left w:val="single" w:color="007847" w:sz="8" w:space="12"/>
              </w:pBdr>
              <w:spacing w:after="80"/>
              <w:ind w:left="1400"/>
            </w:pPr>
            <w:r>
              <w:rPr>
                <w:rFonts w:ascii="Calibri"/>
                <w:color w:val="5A7D68"/>
                <w:sz w:val="22"/>
                <w:szCs w:val="22"/>
              </w:rPr>
              <w:t xml:space="preserve">Prepared: August 2026</w:t>
            </w:r>
          </w:p>
          <w:p>
            <w:pPr>
              <w:pBdr>
                <w:left w:val="single" w:color="007847" w:sz="8" w:space="12"/>
              </w:pBdr>
              <w:spacing w:after="80"/>
              <w:ind w:left="1400"/>
            </w:pPr>
            <w:r>
              <w:rPr>
                <w:rFonts w:ascii="Calibri"/>
                <w:color w:val="5A7D68"/>
                <w:sz w:val="22"/>
                <w:szCs w:val="22"/>
              </w:rPr>
              <w:t xml:space="preserve">Classification: Party Confidential</w:t>
            </w:r>
          </w:p>
          <w:p>
            <w:pPr>
              <w:spacing w:before="4092"/>
            </w:pPr>
            <w:r>
              <w:rPr>
                <w:sz w:val="2"/>
                <w:szCs w:val="2"/>
              </w:rPr>
              <w:t xml:space="preserve"/>
            </w:r>
          </w:p>
          <w:p>
            <w:pPr>
              <w:pBdr>
                <w:top w:val="single" w:color="007847" w:sz="2" w:space="8"/>
              </w:pBdr>
              <w:spacing w:before="200"/>
              <w:ind w:left="1200" w:right="800"/>
            </w:pPr>
            <w:r>
              <w:rPr>
                <w:rFonts w:ascii="Calibri"/>
                <w:color w:val="8FA89A"/>
                <w:sz w:val="16"/>
                <w:szCs w:val="16"/>
              </w:rPr>
              <w:t xml:space="preserve">APC State Campaign Directorate</w:t>
            </w:r>
            <w:r>
              <w:t xml:space="preserve">                                        </w:t>
            </w:r>
            <w:r>
              <w:rPr>
                <w:rFonts w:ascii="Calibri"/>
                <w:color w:val="8FA89A"/>
                <w:sz w:val="16"/>
                <w:szCs w:val="16"/>
              </w:rPr>
              <w:t xml:space="preserve">August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F2B1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Calibri"/>
          <w:i/>
          <w:iCs/>
          <w:color w:val="888888"/>
          <w:sz w:val="18"/>
          <w:szCs w:val="18"/>
        </w:rPr>
        <w:t xml:space="preserve">Note: Right-click the TOC and select "Update Field" to refresh page numbers after editing.</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200" w:before="360"/>
        <w:outlineLvl w:val="0"/>
      </w:pPr>
      <w:r>
        <w:rPr>
          <w:rFonts w:ascii="Times New Roman"/>
          <w:b/>
          <w:bCs/>
          <w:color w:val="0F2B1C"/>
          <w:sz w:val="32"/>
          <w:szCs w:val="32"/>
        </w:rPr>
        <w:t xml:space="preserve">1. Executive Summary</w:t>
      </w:r>
    </w:p>
    <w:p>
      <w:pPr>
        <w:spacing w:after="120" w:line="312"/>
        <w:jc w:val="both"/>
      </w:pPr>
      <w:r>
        <w:rPr>
          <w:rFonts w:ascii="Times New Roman"/>
          <w:color w:val="1F2937"/>
          <w:sz w:val="24"/>
          <w:szCs w:val="24"/>
        </w:rPr>
        <w:t xml:space="preserve">This proposal presents a comprehensive, technology-enabled solution for establishing a fully operational APC State Campaign Office that serves as the central nervous system for all electoral activities within the state. The proposed framework addresses the critical need for a centralised command structure that integrates voter data management, real-time communication, field coordination, election monitoring, volunteer mobilisation, financial tracking, and security governance into a single, cohesive platform. In an era where political campaigns are increasingly won or lost on the strength of operational efficiency and data-driven decision-making, the APC must leverage modern campaign technology to maintain its competitive advantage across all senatorial districts and local government areas.</w:t>
      </w:r>
    </w:p>
    <w:p>
      <w:pPr>
        <w:spacing w:after="120" w:line="312"/>
        <w:jc w:val="both"/>
      </w:pPr>
      <w:r>
        <w:rPr>
          <w:rFonts w:ascii="Times New Roman"/>
          <w:color w:val="1F2937"/>
          <w:sz w:val="24"/>
          <w:szCs w:val="24"/>
        </w:rPr>
        <w:t xml:space="preserve">The solution centres on four interconnected pillars: a robust digital infrastructure comprising eight integrated platform modules that provide real-time analytics, voter intelligence, and operational control; an organised field operations framework that empowers ward-level coordinators with mobile tools and standardised processes; an integrated multi-channel communication system that ensures seamless information flow between the state headquarters, zone coordinators, and grassroots volunteers; and a comprehensive security and compliance layer that protects sensitive voter data and ensures adherence to INEC regulations. Together, these pillars create a campaign operation that is responsive, accountable, and capable of adapting to changing electoral dynamics throughout the campaign cycle.</w:t>
      </w:r>
    </w:p>
    <w:p>
      <w:pPr>
        <w:spacing w:after="120" w:line="312"/>
        <w:jc w:val="both"/>
      </w:pPr>
      <w:r>
        <w:rPr>
          <w:rFonts w:ascii="Times New Roman"/>
          <w:color w:val="1F2937"/>
          <w:sz w:val="24"/>
          <w:szCs w:val="24"/>
        </w:rPr>
        <w:t xml:space="preserve">The platform encompasses eight core modules: a Voter Intelligence Database with advanced segmentation and predictive analytics; a Real-Time Analytics Dashboard with geospatial visualisation and drill-down capabilities; a Field Coordination Mobile Application with offline-first architecture; an Election Monitoring and Incident Response System with structured escalation workflows; a Communication and Messaging Hub supporting SMS, WhatsApp, email, and in-app notifications; a Volunteer Management System with recruitment pipelines and performance tracking; a Financial Tracking and Resource Management module with budget controls and inventory management; and a Security, Compliance, and Data Governance module with role-based access control, encryption, and audit logging.</w:t>
      </w:r>
    </w:p>
    <w:p>
      <w:pPr>
        <w:spacing w:after="120" w:line="312"/>
        <w:jc w:val="both"/>
      </w:pPr>
      <w:r>
        <w:rPr>
          <w:rFonts w:ascii="Times New Roman"/>
          <w:color w:val="1F2937"/>
          <w:sz w:val="24"/>
          <w:szCs w:val="24"/>
        </w:rPr>
        <w:t xml:space="preserve">The estimated total investment for the initial setup and first six months of operation is approximately N85 million, covering technology infrastructure, staffing, training, logistics, and contingency reserves. This investment is projected to yield measurable improvements in voter outreach coverage, volunteer mobilisation rates, incident response times, and overall electoral performance. The implementation roadmap spans twelve weeks from approval to full operational capability.</w:t>
      </w:r>
    </w:p>
    <w:p>
      <w:pPr>
        <w:pStyle w:val="Heading1"/>
        <w:spacing w:after="200" w:before="360"/>
        <w:outlineLvl w:val="0"/>
      </w:pPr>
      <w:r>
        <w:rPr>
          <w:rFonts w:ascii="Times New Roman"/>
          <w:b/>
          <w:bCs/>
          <w:color w:val="0F2B1C"/>
          <w:sz w:val="32"/>
          <w:szCs w:val="32"/>
        </w:rPr>
        <w:t xml:space="preserve">2. Current State and Problem Analysis</w:t>
      </w:r>
    </w:p>
    <w:p>
      <w:pPr>
        <w:pStyle w:val="Heading2"/>
        <w:spacing w:after="160" w:before="280"/>
        <w:outlineLvl w:val="1"/>
      </w:pPr>
      <w:r>
        <w:rPr>
          <w:rFonts w:ascii="Times New Roman"/>
          <w:b/>
          <w:bCs/>
          <w:color w:val="0F2B1C"/>
          <w:sz w:val="28"/>
          <w:szCs w:val="28"/>
        </w:rPr>
        <w:t xml:space="preserve">2.1 Existing Campaign Infrastructure</w:t>
      </w:r>
    </w:p>
    <w:p>
      <w:pPr>
        <w:spacing w:after="120" w:line="312"/>
        <w:jc w:val="both"/>
      </w:pPr>
      <w:r>
        <w:rPr>
          <w:rFonts w:ascii="Times New Roman"/>
          <w:color w:val="1F2937"/>
          <w:sz w:val="24"/>
          <w:szCs w:val="24"/>
        </w:rPr>
        <w:t xml:space="preserve">The current state of APC state-level campaign operations across most Nigerian states relies heavily on informal organisational structures that have remained largely unchanged since the 2015 general elections. Field coordinators typically operate from personal residences or rented spaces that lack consistent power supply, internet connectivity, and basic office equipment. Communication between the state headquarters and ward-level units depends on personal mobile phone calls and WhatsApp groups, which, while effective for simple messaging, lack the structure, auditability, and scalability required for a modern campaign managing hundreds of thousands of voter interactions across geographically dispersed polling units.</w:t>
      </w:r>
    </w:p>
    <w:p>
      <w:pPr>
        <w:spacing w:after="120" w:line="312"/>
        <w:jc w:val="both"/>
      </w:pPr>
      <w:r>
        <w:rPr>
          <w:rFonts w:ascii="Times New Roman"/>
          <w:color w:val="1F2937"/>
          <w:sz w:val="24"/>
          <w:szCs w:val="24"/>
        </w:rPr>
        <w:t xml:space="preserve">Voter data, where it exists at all, is typically stored in disconnected spreadsheets maintained by individual local government coordinators. There is no centralised voter database that provides a unified view of voter demographics, registration status, past voting behaviour, or issue-based segmentation. Financial tracking, if performed at all, consists of manual ledger entries that are opaque, difficult to audit, and vulnerable to mismanagement. Volunteer mobilisation follows no systematic process. Recruitment happens through personal networks rather than structured outreach, training is inconsistent and undocumented, and there is no mechanism for tracking volunteer attendance, performance, or retention.</w:t>
      </w:r>
    </w:p>
    <w:p>
      <w:pPr>
        <w:pStyle w:val="Heading2"/>
        <w:spacing w:after="160" w:before="280"/>
        <w:outlineLvl w:val="1"/>
      </w:pPr>
      <w:r>
        <w:rPr>
          <w:rFonts w:ascii="Times New Roman"/>
          <w:b/>
          <w:bCs/>
          <w:color w:val="0F2B1C"/>
          <w:sz w:val="28"/>
          <w:szCs w:val="28"/>
        </w:rPr>
        <w:t xml:space="preserve">2.2 Key Challenges Identified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Challenge 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Fragmented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Records scattered across spreadsheets with no central repository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Gaps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Informal channels; 24-48 hour delays for critical updates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Real-Time Visibility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 live dashboards for field activity or voter 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Management Vacuum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recruitment, training, or performance tracking system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Opacity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 no real-time budget 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Weak 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 phone calls; no structured incident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Vulnerabilities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Unencrypted channels; no role-based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 Predictive Analytics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Decisions based on anecdote rather than data modelling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bl>
    <w:p>
      <w:pPr>
        <w:spacing w:after="200" w:before="80"/>
        <w:jc w:val="center"/>
      </w:pPr>
      <w:r>
        <w:rPr>
          <w:rFonts w:ascii="Calibri"/>
          <w:i/>
          <w:iCs/>
          <w:color w:val="5A7D68"/>
          <w:sz w:val="21"/>
          <w:szCs w:val="21"/>
        </w:rPr>
        <w:t xml:space="preserve">Table 1: Comprehensive Challenge Matrix</w:t>
      </w:r>
    </w:p>
    <w:p>
      <w:pPr>
        <w:pStyle w:val="Heading2"/>
        <w:spacing w:after="160" w:before="280"/>
        <w:outlineLvl w:val="1"/>
      </w:pPr>
      <w:r>
        <w:rPr>
          <w:rFonts w:ascii="Times New Roman"/>
          <w:b/>
          <w:bCs/>
          <w:color w:val="0F2B1C"/>
          <w:sz w:val="28"/>
          <w:szCs w:val="28"/>
        </w:rPr>
        <w:t xml:space="preserve">2.3 Strategic Implications</w:t>
      </w:r>
    </w:p>
    <w:p>
      <w:pPr>
        <w:spacing w:after="120" w:line="312"/>
        <w:jc w:val="both"/>
      </w:pPr>
      <w:r>
        <w:rPr>
          <w:rFonts w:ascii="Times New Roman"/>
          <w:color w:val="1F2937"/>
          <w:sz w:val="24"/>
          <w:szCs w:val="24"/>
        </w:rPr>
        <w:t xml:space="preserve">The cumulative effect of these challenges is a campaign operation that reacts slowly to emerging situations, fails to capitalise on favourable voter dynamics, and cannot provide state-level leadership with the timely intelligence needed for strategic decision-making. In closely contested states where margins of victory can be as narrow as a few thousand votes, these operational deficiencies translate directly into lost votes and, ultimately, lost elections. The 2023 electoral cycle demonstrated that opposition parties who invested in centralised campaign technology and data-driven field operations were able to achieve significant gains in previously safe APC territories.</w:t>
      </w:r>
    </w:p>
    <w:p>
      <w:pPr>
        <w:pStyle w:val="Heading1"/>
        <w:spacing w:after="200" w:before="360"/>
        <w:outlineLvl w:val="0"/>
      </w:pPr>
      <w:r>
        <w:rPr>
          <w:rFonts w:ascii="Times New Roman"/>
          <w:b/>
          <w:bCs/>
          <w:color w:val="0F2B1C"/>
          <w:sz w:val="32"/>
          <w:szCs w:val="32"/>
        </w:rPr>
        <w:t xml:space="preserve">3. Goals and Expected Outcomes</w:t>
      </w:r>
    </w:p>
    <w:p>
      <w:pPr>
        <w:pStyle w:val="Heading2"/>
        <w:spacing w:after="160" w:before="280"/>
        <w:outlineLvl w:val="1"/>
      </w:pPr>
      <w:r>
        <w:rPr>
          <w:rFonts w:ascii="Times New Roman"/>
          <w:b/>
          <w:bCs/>
          <w:color w:val="0F2B1C"/>
          <w:sz w:val="28"/>
          <w:szCs w:val="28"/>
        </w:rPr>
        <w:t xml:space="preserve">3.1 Primary Objectives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Objective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KPI</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Target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Centralise 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voters in digitised database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within 8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Communication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Critical alert delivery 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 with mobile access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coverage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units with trained observers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95% on election day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Registered and trained volunteers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5,000+ within 10 weeks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Financial Transparency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Expenditure tracked in real-time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of spending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Resource Efficiency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wastage reduction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reduction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with security training and NDA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100% before access</w:t>
            </w:r>
          </w:p>
        </w:tc>
      </w:tr>
    </w:tbl>
    <w:p>
      <w:pPr>
        <w:spacing w:after="200" w:before="80"/>
        <w:jc w:val="center"/>
      </w:pPr>
      <w:r>
        <w:rPr>
          <w:rFonts w:ascii="Calibri"/>
          <w:i/>
          <w:iCs/>
          <w:color w:val="5A7D68"/>
          <w:sz w:val="21"/>
          <w:szCs w:val="21"/>
        </w:rPr>
        <w:t xml:space="preserve">Table 2: Primary Objectives and KPIs</w:t>
      </w:r>
    </w:p>
    <w:p>
      <w:pPr>
        <w:pStyle w:val="Heading2"/>
        <w:spacing w:after="160" w:before="280"/>
        <w:outlineLvl w:val="1"/>
      </w:pPr>
      <w:r>
        <w:rPr>
          <w:rFonts w:ascii="Times New Roman"/>
          <w:b/>
          <w:bCs/>
          <w:color w:val="0F2B1C"/>
          <w:sz w:val="28"/>
          <w:szCs w:val="28"/>
        </w:rPr>
        <w:t xml:space="preserve">3.2 Expected Outcomes</w:t>
      </w:r>
    </w:p>
    <w:p>
      <w:pPr>
        <w:spacing w:after="120" w:line="312"/>
        <w:jc w:val="both"/>
      </w:pPr>
      <w:r>
        <w:rPr>
          <w:rFonts w:ascii="Times New Roman"/>
          <w:color w:val="1F2937"/>
          <w:sz w:val="24"/>
          <w:szCs w:val="24"/>
        </w:rPr>
        <w:t xml:space="preserve">Upon full implementation, the state campaign office will operate as a professional, data-driven organisation capable of supporting thousands of field operatives across all local government areas. The centralised voter intelligence system will enable micro-targeting of campaign messages to specific demographic groups, issue-based voter engagement at the polling unit level, and predictive modelling of voter turnout that allows the campaign to focus resources where they will have the greatest electoral impact. The integrated monitoring and incident response framework will provide the party with an unprecedented ability to detect, report, and escalate electoral irregularities in real time.</w:t>
      </w:r>
    </w:p>
    <w:p>
      <w:pPr>
        <w:spacing w:after="120" w:line="312"/>
        <w:jc w:val="both"/>
      </w:pPr>
      <w:r>
        <w:rPr>
          <w:rFonts w:ascii="Times New Roman"/>
          <w:color w:val="1F2937"/>
          <w:sz w:val="24"/>
          <w:szCs w:val="24"/>
        </w:rPr>
        <w:t xml:space="preserve">Furthermore, the communication infrastructure will persist beyond election day, providing the party with a permanent organising platform for governance engagement, membership mobilisation, and future electoral preparation. The institutional knowledge captured through the platform's data layers and operational logs will accumulate across election cycles, building a permanent competitive advantage that grows stronger with each successive campaign.</w:t>
      </w:r>
    </w:p>
    <w:p>
      <w:pPr>
        <w:pStyle w:val="Heading1"/>
        <w:spacing w:after="200" w:before="360"/>
        <w:outlineLvl w:val="0"/>
      </w:pPr>
      <w:r>
        <w:rPr>
          <w:rFonts w:ascii="Times New Roman"/>
          <w:b/>
          <w:bCs/>
          <w:color w:val="0F2B1C"/>
          <w:sz w:val="32"/>
          <w:szCs w:val="32"/>
        </w:rPr>
        <w:t xml:space="preserve">4. Solution Architecture Overview</w:t>
      </w:r>
    </w:p>
    <w:p>
      <w:pPr>
        <w:pStyle w:val="Heading2"/>
        <w:spacing w:after="160" w:before="280"/>
        <w:outlineLvl w:val="1"/>
      </w:pPr>
      <w:r>
        <w:rPr>
          <w:rFonts w:ascii="Times New Roman"/>
          <w:b/>
          <w:bCs/>
          <w:color w:val="0F2B1C"/>
          <w:sz w:val="28"/>
          <w:szCs w:val="28"/>
        </w:rPr>
        <w:t xml:space="preserve">4.1 High-Level System Architecture</w:t>
      </w:r>
    </w:p>
    <w:p>
      <w:pPr>
        <w:spacing w:after="120" w:line="312"/>
        <w:jc w:val="both"/>
      </w:pPr>
      <w:r>
        <w:rPr>
          <w:rFonts w:ascii="Times New Roman"/>
          <w:color w:val="1F2937"/>
          <w:sz w:val="24"/>
          <w:szCs w:val="24"/>
        </w:rPr>
        <w:t xml:space="preserve">The campaign technology platform follows a modern, cloud-native microservices architecture designed for scalability, reliability, and rapid iteration. The system is organised into four architectural layers: the Presentation Layer comprising the web dashboard and mobile applications; the Application Layer containing the eight core platform modules as independent microservices; the Data Layer managing persistent storage, caching, and search indexing; and the Infrastructure Layer providing cloud hosting, content delivery, and security services. Each layer communicates through well-defined APIs, enabling independent scaling, deployment, and maintenance of individual components.</w:t>
      </w:r>
    </w:p>
    <w:p>
      <w:pPr>
        <w:spacing w:after="120" w:line="312"/>
        <w:jc w:val="both"/>
      </w:pPr>
      <w:r>
        <w:rPr>
          <w:rFonts w:ascii="Times New Roman"/>
          <w:color w:val="1F2937"/>
          <w:sz w:val="24"/>
          <w:szCs w:val="24"/>
        </w:rPr>
        <w:t xml:space="preserve">The platform is designed with a mobile-first philosophy, recognising that the majority of end-users will interact with the system primarily through smartphones. The web dashboard serves as the command centre for state-level leadership, providing comprehensive oversight and analytical capabilities. The mobile application is optimised for low-bandwidth environments and intermittent connectivity, employing an offline-first architecture that synchronises data transparently whenever connectivity becomes available.</w:t>
      </w:r>
    </w:p>
    <w:p>
      <w:pPr>
        <w:pStyle w:val="Heading2"/>
        <w:spacing w:after="160" w:before="280"/>
        <w:outlineLvl w:val="1"/>
      </w:pPr>
      <w:r>
        <w:rPr>
          <w:rFonts w:ascii="Times New Roman"/>
          <w:b/>
          <w:bCs/>
          <w:color w:val="0F2B1C"/>
          <w:sz w:val="28"/>
          <w:szCs w:val="28"/>
        </w:rPr>
        <w:t xml:space="preserve">4.2 Technology Stack</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Technology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Rationale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Frontend (Web)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React.js + TypeScript, Tailwind CSS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Component reusability, type safety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Frontend (Mobile)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React Native with Expo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codebase, offline SQLite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Backend API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Node.js with Fastify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throughput, JS consistency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Database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PostgreSQL + Redis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ACID compliance, fast cache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Elasticsearch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Full-text search, geospatial queries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AWS S3 / MinIO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Scalable media storage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WebSocket (Socket.io) + Push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Instant alerts, live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OAuth 2.0 + JWT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stateless authentication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Cloud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AWS / Azure multi-AZ</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 availability, auto-scaling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CI/CD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GitHub Actions + Docker + K8s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Automated deploy and rollback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Grafana + Prometheus + Sentry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Health, errors, alerting</w:t>
            </w:r>
          </w:p>
        </w:tc>
      </w:tr>
    </w:tbl>
    <w:p>
      <w:pPr>
        <w:spacing w:after="200" w:before="80"/>
        <w:jc w:val="center"/>
      </w:pPr>
      <w:r>
        <w:rPr>
          <w:rFonts w:ascii="Calibri"/>
          <w:i/>
          <w:iCs/>
          <w:color w:val="5A7D68"/>
          <w:sz w:val="21"/>
          <w:szCs w:val="21"/>
        </w:rPr>
        <w:t xml:space="preserve">Table 3: Technology Stack</w:t>
      </w:r>
    </w:p>
    <w:p>
      <w:pPr>
        <w:pStyle w:val="Heading2"/>
        <w:spacing w:after="160" w:before="280"/>
        <w:outlineLvl w:val="1"/>
      </w:pPr>
      <w:r>
        <w:rPr>
          <w:rFonts w:ascii="Times New Roman"/>
          <w:b/>
          <w:bCs/>
          <w:color w:val="0F2B1C"/>
          <w:sz w:val="28"/>
          <w:szCs w:val="28"/>
        </w:rPr>
        <w:t xml:space="preserve">4.3 Data Flow Architecture</w:t>
      </w:r>
    </w:p>
    <w:p>
      <w:pPr>
        <w:spacing w:after="120" w:line="312"/>
        <w:jc w:val="both"/>
      </w:pPr>
      <w:r>
        <w:rPr>
          <w:rFonts w:ascii="Times New Roman"/>
          <w:color w:val="1F2937"/>
          <w:sz w:val="24"/>
          <w:szCs w:val="24"/>
        </w:rPr>
        <w:t xml:space="preserve">Data flows through the platform in a structured pipeline ensuring consistency, auditability, and real-time availability. Field data captured through the mobile application is first stored locally in an encrypted SQLite database, then synchronised to the central server via a queued replication mechanism with conflict resolution using last-write-wins with operational transformation for concurrent edits. The event-driven architecture uses a message broker to decouple modules, ensuring reliable data propagation. When an incident report is submitted, the event triggers simultaneous notifications to the monitoring dashboard, the communications module, and the analytics engine, all without blocking the original submission.</w:t>
      </w:r>
    </w:p>
    <w:p>
      <w:pPr>
        <w:pStyle w:val="Heading2"/>
        <w:spacing w:after="160" w:before="280"/>
        <w:outlineLvl w:val="1"/>
      </w:pPr>
      <w:r>
        <w:rPr>
          <w:rFonts w:ascii="Times New Roman"/>
          <w:b/>
          <w:bCs/>
          <w:color w:val="0F2B1C"/>
          <w:sz w:val="28"/>
          <w:szCs w:val="28"/>
        </w:rPr>
        <w:t xml:space="preserve">4.4 API Architecture and Integration Points</w:t>
      </w:r>
    </w:p>
    <w:p>
      <w:pPr>
        <w:spacing w:after="120" w:line="312"/>
        <w:jc w:val="both"/>
      </w:pPr>
      <w:r>
        <w:rPr>
          <w:rFonts w:ascii="Times New Roman"/>
          <w:color w:val="1F2937"/>
          <w:sz w:val="24"/>
          <w:szCs w:val="24"/>
        </w:rPr>
        <w:t xml:space="preserve">All inter-module communication is mediated through a centralised API Gateway that handles authentication, rate limiting, request validation, and routing. Each module exposes a RESTful API following OpenAPI 3.0 specifications with versioned endpoints. The gateway enforces per-role rate limits to prevent abuse and ensures that all requests are logged to the audit trail. Webhook subscriptions allow external systems to receive real-time event notifications for integration with INEC result portals, media monitoring services, and third-party analytics tools.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API Endpoints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Authentication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Rate Limit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GET /voters, POST /segments, GET /search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/widgets, GET /kpi, WS /live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/visits, POST /incidents, GET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Device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/incidents, PUT /escalate, WS /situations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/broadcast, GET /templates, POST /whatsapp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/volunteers, POST /shifts, GET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 req/min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 /expenses, PUT /approve, GET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JWT + RBAC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 req/min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GET /audit, POST /roles, GET /compliance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MFA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 req/min</w:t>
            </w:r>
          </w:p>
        </w:tc>
      </w:tr>
    </w:tbl>
    <w:p>
      <w:pPr>
        <w:spacing w:after="200" w:before="80"/>
        <w:jc w:val="center"/>
      </w:pPr>
      <w:r>
        <w:rPr>
          <w:rFonts w:ascii="Calibri"/>
          <w:i/>
          <w:iCs/>
          <w:color w:val="5A7D68"/>
          <w:sz w:val="21"/>
          <w:szCs w:val="21"/>
        </w:rPr>
        <w:t xml:space="preserve">Table 4: API Endpoint Summary</w:t>
      </w:r>
    </w:p>
    <w:p>
      <w:pPr>
        <w:pStyle w:val="Heading1"/>
        <w:spacing w:after="200" w:before="360"/>
        <w:outlineLvl w:val="0"/>
      </w:pPr>
      <w:r>
        <w:rPr>
          <w:rFonts w:ascii="Times New Roman"/>
          <w:b/>
          <w:bCs/>
          <w:color w:val="0F2B1C"/>
          <w:sz w:val="32"/>
          <w:szCs w:val="32"/>
        </w:rPr>
        <w:t xml:space="preserve">5. Platform Modules — Detailed Specification</w:t>
      </w:r>
    </w:p>
    <w:p>
      <w:pPr>
        <w:spacing w:after="120" w:line="312"/>
        <w:jc w:val="both"/>
      </w:pPr>
      <w:r>
        <w:rPr>
          <w:rFonts w:ascii="Times New Roman"/>
          <w:color w:val="1F2937"/>
          <w:sz w:val="24"/>
          <w:szCs w:val="24"/>
        </w:rPr>
        <w:t xml:space="preserve">This section provides in-depth technical and functional specifications for each of the eight core platform modules, covering purpose, features, data models, user interface components, integration points, performance requirements, user flows, and edge case handling.</w:t>
      </w:r>
    </w:p>
    <w:p>
      <w:pPr>
        <w:pStyle w:val="Heading2"/>
        <w:spacing w:after="160" w:before="280"/>
        <w:outlineLvl w:val="1"/>
      </w:pPr>
      <w:r>
        <w:rPr>
          <w:rFonts w:ascii="Times New Roman"/>
          <w:b/>
          <w:bCs/>
          <w:color w:val="0F2B1C"/>
          <w:sz w:val="28"/>
          <w:szCs w:val="28"/>
        </w:rPr>
        <w:t xml:space="preserve">5.1 Voter Intelligence Database (VID)</w:t>
      </w:r>
    </w:p>
    <w:p>
      <w:pPr>
        <w:pStyle w:val="Heading3"/>
        <w:spacing w:after="120" w:before="200"/>
        <w:outlineLvl w:val="2"/>
      </w:pPr>
      <w:r>
        <w:rPr>
          <w:rFonts w:ascii="Times New Roman"/>
          <w:b/>
          <w:bCs/>
          <w:color w:val="0F2B1C"/>
          <w:sz w:val="26"/>
          <w:szCs w:val="26"/>
        </w:rPr>
        <w:t xml:space="preserve">5.1.1 Module Overview</w:t>
      </w:r>
    </w:p>
    <w:p>
      <w:pPr>
        <w:spacing w:after="120" w:line="312"/>
        <w:jc w:val="both"/>
      </w:pPr>
      <w:r>
        <w:rPr>
          <w:rFonts w:ascii="Times New Roman"/>
          <w:color w:val="1F2937"/>
          <w:sz w:val="24"/>
          <w:szCs w:val="24"/>
        </w:rPr>
        <w:t xml:space="preserve">The Voter Intelligence Database (VID) is the foundational data module serving as the single source of truth for all voter-related information. It consolidates data from INEC official voter registers, party membership databases, field survey responses, previous election result datasets, and real-time interaction logs. The VID supports complex queries, multi-dimensional segmentation, and predictive analytics that drive all other platform modules. The database is designed to handle up to five million voter records per state with sub-500-millisecond query response times, even under concurrent access from hundreds of field agents and dashboard users.</w:t>
      </w:r>
    </w:p>
    <w:p>
      <w:pPr>
        <w:pStyle w:val="Heading3"/>
        <w:spacing w:after="120" w:before="200"/>
        <w:outlineLvl w:val="2"/>
      </w:pPr>
      <w:r>
        <w:rPr>
          <w:rFonts w:ascii="Times New Roman"/>
          <w:b/>
          <w:bCs/>
          <w:color w:val="0F2B1C"/>
          <w:sz w:val="26"/>
          <w:szCs w:val="26"/>
        </w:rPr>
        <w:t xml:space="preserve">5.1.2 Data Model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Domain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Fields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Demographic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Age, gender, occupation, education, language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code, ward, LGA, district, GPS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 geocoding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Electoral History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Past turnout, PVC status, party affiliation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INEC + party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 cycle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 logs, calls, events, digital clicks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 CRM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Top 3 concerns, sentiment score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surveys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Predictive Scores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Turnout probability, party affinity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ML model output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bl>
    <w:p>
      <w:pPr>
        <w:spacing w:after="200" w:before="80"/>
        <w:jc w:val="center"/>
      </w:pPr>
      <w:r>
        <w:rPr>
          <w:rFonts w:ascii="Calibri"/>
          <w:i/>
          <w:iCs/>
          <w:color w:val="5A7D68"/>
          <w:sz w:val="21"/>
          <w:szCs w:val="21"/>
        </w:rPr>
        <w:t xml:space="preserve">Table 5: Voter Data Domains</w:t>
      </w:r>
    </w:p>
    <w:p>
      <w:pPr>
        <w:pStyle w:val="Heading3"/>
        <w:spacing w:after="120" w:before="200"/>
        <w:outlineLvl w:val="2"/>
      </w:pPr>
      <w:r>
        <w:rPr>
          <w:rFonts w:ascii="Times New Roman"/>
          <w:b/>
          <w:bCs/>
          <w:color w:val="0F2B1C"/>
          <w:sz w:val="26"/>
          <w:szCs w:val="26"/>
        </w:rPr>
        <w:t xml:space="preserve">5.1.3 Key Features</w:t>
      </w:r>
    </w:p>
    <w:p>
      <w:pPr>
        <w:spacing w:after="120" w:line="312"/>
        <w:jc w:val="both"/>
      </w:pPr>
      <w:r>
        <w:rPr>
          <w:rFonts w:ascii="Times New Roman"/>
          <w:color w:val="1F2937"/>
          <w:sz w:val="24"/>
          <w:szCs w:val="24"/>
        </w:rPr>
        <w:t xml:space="preserve">Advanced Search and Filtering: Full-text search across all voter fields using Elasticsearch, with filters for any combination of attributes. Users save complex filter combinations as named segments. Search results return in under 500 milliseconds with instant type-ahead suggestions displaying matching names with polling unit context. The search index is incrementally updated within three seconds of any data change, ensuring field agents always see the most current information.</w:t>
      </w:r>
    </w:p>
    <w:p>
      <w:pPr>
        <w:spacing w:after="120" w:line="312"/>
        <w:jc w:val="both"/>
      </w:pPr>
      <w:r>
        <w:rPr>
          <w:rFonts w:ascii="Times New Roman"/>
          <w:color w:val="1F2937"/>
          <w:sz w:val="24"/>
          <w:szCs w:val="24"/>
        </w:rPr>
        <w:t xml:space="preserve">Dynamic Segmentation Engine: Rule-based dynamic segments that automatically update as new data flows in. Supports AND/OR/NOT logic with nested conditional groups. A segment like 'First-time voters aged 18-25 in urban LGAs with high persuadability not yet contacted' grows or shrinks automatically, eliminating manual re-querying. Segments can be shared across teams with read-only or edit permissions, and any segment can be exported directly to the Communication Hub as a messaging audience.</w:t>
      </w:r>
    </w:p>
    <w:p>
      <w:pPr>
        <w:spacing w:after="120" w:line="312"/>
        <w:jc w:val="both"/>
      </w:pPr>
      <w:r>
        <w:rPr>
          <w:rFonts w:ascii="Times New Roman"/>
          <w:color w:val="1F2937"/>
          <w:sz w:val="24"/>
          <w:szCs w:val="24"/>
        </w:rPr>
        <w:t xml:space="preserve">Voter Profile Dashboard: 360-degree profile view with interaction timeline, polling unit map, demographic cards, engagement heat maps, and predictive score gauges. Tabbed layout with Overview, Interactions, Predictive Scores, and Map tabs. The Overview tab displays a summary card grid showing PVC status, last contact date, sentiment trend sparkline, and assigned coordinator. The Interactions tab presents a chronological activity feed with filterable event types.</w:t>
      </w:r>
    </w:p>
    <w:p>
      <w:pPr>
        <w:spacing w:after="120" w:line="312"/>
        <w:jc w:val="both"/>
      </w:pPr>
      <w:r>
        <w:rPr>
          <w:rFonts w:ascii="Times New Roman"/>
          <w:color w:val="1F2937"/>
          <w:sz w:val="24"/>
          <w:szCs w:val="24"/>
        </w:rPr>
        <w:t xml:space="preserve">Data Import and Deduplication: Robust import pipeline accepting CSV, Excel, and JSON with configurable field mapping. Automated fuzzy matching on name, address, and VIN for deduplication using a probabilistic record linkage algorithm with configurable similarity thresholds. Data quality dashboards track completeness, accuracy, and freshness per domain. The import wizard supports preview-before-commit, allowing users to verify mappings and resolve duplicates interactively before finalising.</w:t>
      </w:r>
    </w:p>
    <w:p>
      <w:pPr>
        <w:pStyle w:val="Heading3"/>
        <w:spacing w:after="120" w:before="200"/>
        <w:outlineLvl w:val="2"/>
      </w:pPr>
      <w:r>
        <w:rPr>
          <w:rFonts w:ascii="Times New Roman"/>
          <w:b/>
          <w:bCs/>
          <w:color w:val="0F2B1C"/>
          <w:sz w:val="26"/>
          <w:szCs w:val="26"/>
        </w:rPr>
        <w:t xml:space="preserve">5.1.4 Voter Lifecycle Management</w:t>
      </w:r>
    </w:p>
    <w:p>
      <w:pPr>
        <w:spacing w:after="120" w:line="312"/>
        <w:jc w:val="both"/>
      </w:pPr>
      <w:r>
        <w:rPr>
          <w:rFonts w:ascii="Times New Roman"/>
          <w:color w:val="1F2937"/>
          <w:sz w:val="24"/>
          <w:szCs w:val="24"/>
        </w:rPr>
        <w:t xml:space="preserve">Every voter record progresses through a defined engagement lifecycle: New (imported, no contact), Contacted (first outreach attempted), Engaged (meaningful interaction recorded), Persuaded (positive sentiment shift detected), Committed (verbal or written pledge of support), and Mobilised (confirmed transport or polling day plan). Status transitions are triggered either manually by field agents or automatically by the system based on configurable rules, such as a sentiment score crossing a threshold or multiple positive interactions within a defined period.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Status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Definition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 Condition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 Required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Imported, no prior contact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import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to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Contacted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First outreach attempted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Visit/call logged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Follow-up scheduled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Engaged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Meaningful interaction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Visit with positive notes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Issue-based messaging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Persuaded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shift positive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score above 0.7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Intensify engagement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Committed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Pledge of support recorded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Verbal/written pledge logged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Mobilisation planning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 day plan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Transport/location confirmed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Day-of reminders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Declined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Explicit opposition stated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Negative sentiment + refusal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Remove from active list</w:t>
            </w:r>
          </w:p>
        </w:tc>
      </w:tr>
    </w:tbl>
    <w:p>
      <w:pPr>
        <w:spacing w:after="200" w:before="80"/>
        <w:jc w:val="center"/>
      </w:pPr>
      <w:r>
        <w:rPr>
          <w:rFonts w:ascii="Calibri"/>
          <w:i/>
          <w:iCs/>
          <w:color w:val="5A7D68"/>
          <w:sz w:val="21"/>
          <w:szCs w:val="21"/>
        </w:rPr>
        <w:t xml:space="preserve">Table 6: Voter Engagement Lifecycle</w:t>
      </w:r>
    </w:p>
    <w:p>
      <w:pPr>
        <w:pStyle w:val="Heading3"/>
        <w:spacing w:after="120" w:before="200"/>
        <w:outlineLvl w:val="2"/>
      </w:pPr>
      <w:r>
        <w:rPr>
          <w:rFonts w:ascii="Times New Roman"/>
          <w:b/>
          <w:bCs/>
          <w:color w:val="0F2B1C"/>
          <w:sz w:val="26"/>
          <w:szCs w:val="26"/>
        </w:rPr>
        <w:t xml:space="preserve">5.1.5 Data Governance and Quality Framework</w:t>
      </w:r>
    </w:p>
    <w:p>
      <w:pPr>
        <w:spacing w:after="120" w:line="312"/>
        <w:jc w:val="both"/>
      </w:pPr>
      <w:r>
        <w:rPr>
          <w:rFonts w:ascii="Times New Roman"/>
          <w:color w:val="1F2937"/>
          <w:sz w:val="24"/>
          <w:szCs w:val="24"/>
        </w:rPr>
        <w:t xml:space="preserve">The VID implements a comprehensive data governance framework ensuring data integrity, consistency, and regulatory compliance. Every data modification is tracked with the user ID, timestamp, previous value, and new value in an immutable audit trail. Data quality rules enforce mandatory field completion (e.g., PVC number, polling unit code must not be null), format validation (phone numbers must match Nigerian formats), and referential integrity (ward codes must exist in the geographic hierarchy). Automated data quality reports are generated daily, scoring each LGA's data on completeness, accuracy, timeliness, and uniqueness.</w:t>
      </w:r>
    </w:p>
    <w:p>
      <w:pPr>
        <w:spacing w:after="120" w:line="312"/>
        <w:jc w:val="both"/>
      </w:pPr>
      <w:r>
        <w:rPr>
          <w:rFonts w:ascii="Times New Roman"/>
          <w:color w:val="1F2937"/>
          <w:sz w:val="24"/>
          <w:szCs w:val="24"/>
        </w:rPr>
        <w:t xml:space="preserve">Bulk data operations are performed through a dedicated Bulk Operations Centre accessible to Data Director and IT Admin roles only. Operations include bulk status updates, bulk assignment reassignment, bulk segment tagging, and data purging for records flagged as invalid. All bulk operations require confirmation with a preview of affected records and an optional dry-run mode that logs what would change without executing. A rollback mechanism allows reverting any bulk operation within 24 hours.</w:t>
      </w:r>
    </w:p>
    <w:p>
      <w:pPr>
        <w:pStyle w:val="Heading3"/>
        <w:spacing w:after="120" w:before="200"/>
        <w:outlineLvl w:val="2"/>
      </w:pPr>
      <w:r>
        <w:rPr>
          <w:rFonts w:ascii="Times New Roman"/>
          <w:b/>
          <w:bCs/>
          <w:color w:val="0F2B1C"/>
          <w:sz w:val="26"/>
          <w:szCs w:val="26"/>
        </w:rPr>
        <w:t xml:space="preserve">5.1.6 UI Screens</w:t>
      </w:r>
    </w:p>
    <w:p>
      <w:pPr>
        <w:spacing w:after="120" w:line="312"/>
        <w:jc w:val="both"/>
      </w:pPr>
      <w:r>
        <w:rPr>
          <w:rFonts w:ascii="Times New Roman"/>
          <w:color w:val="1F2937"/>
          <w:sz w:val="24"/>
          <w:szCs w:val="24"/>
        </w:rPr>
        <w:t xml:space="preserve">The VID web interface comprises six primary screens: Search and Explore (search bar with type-ahead plus left filter panel with collapsible sections for demographics, geography, electoral history, and engagement plus results data table with sortable columns and inline preview), Segment Builder (visual drag-and-drop rule builder with live count previews showing matching voter count and distribution), Voter Profile (tabbed layout with Overview, Interactions, Scores, Map), Data Import (multi-step wizard: upload, map, validate, confirm with progress indicators), Data Quality Dashboard (completeness heat maps, accuracy charts, deduplication queue with side-by-side comparison), and Bulk Operations Centre (operation selector, scope definition, preview, confirm, and history log). Each screen has a consistent toolbar with Export, Print, Save Segment, and Share actions.</w:t>
      </w:r>
    </w:p>
    <w:p>
      <w:pPr>
        <w:pStyle w:val="Heading2"/>
        <w:spacing w:after="160" w:before="280"/>
        <w:outlineLvl w:val="1"/>
      </w:pPr>
      <w:r>
        <w:rPr>
          <w:rFonts w:ascii="Times New Roman"/>
          <w:b/>
          <w:bCs/>
          <w:color w:val="0F2B1C"/>
          <w:sz w:val="28"/>
          <w:szCs w:val="28"/>
        </w:rPr>
        <w:t xml:space="preserve">5.2 Real-Time Analytics Dashboard</w:t>
      </w:r>
    </w:p>
    <w:p>
      <w:pPr>
        <w:pStyle w:val="Heading3"/>
        <w:spacing w:after="120" w:before="200"/>
        <w:outlineLvl w:val="2"/>
      </w:pPr>
      <w:r>
        <w:rPr>
          <w:rFonts w:ascii="Times New Roman"/>
          <w:b/>
          <w:bCs/>
          <w:color w:val="0F2B1C"/>
          <w:sz w:val="26"/>
          <w:szCs w:val="26"/>
        </w:rPr>
        <w:t xml:space="preserve">5.2.1 Module Overview</w:t>
      </w:r>
    </w:p>
    <w:p>
      <w:pPr>
        <w:spacing w:after="120" w:line="312"/>
        <w:jc w:val="both"/>
      </w:pPr>
      <w:r>
        <w:rPr>
          <w:rFonts w:ascii="Times New Roman"/>
          <w:color w:val="1F2937"/>
          <w:sz w:val="24"/>
          <w:szCs w:val="24"/>
        </w:rPr>
        <w:t xml:space="preserve">The Analytics Dashboard is the primary command-and-control interface for state-level leadership, providing a live, interactive overview of all campaign activities through an intuitive visual interface. It is accessible via web browser with responsive layouts for tablets, and supports configurable widget grids that users personalise by adding, removing, rearranging, and resizing widgets. The dashboard loads within two seconds on standard broadband and maintains real-time data freshness through WebSocket connections that push incremental updates without full page reloads.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Widget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Refresh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Summary Cards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contacted, volunteers active, incidents, budget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Geospatial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Interactive state map, colour-coded by LGA,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 Field + Monitor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60s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Activity Timeline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Chronological field report feed with filters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Coordination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Trends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line charts segmented by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Volunteer 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Coverage vs target by area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Tracker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incident list with severity and 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Monitoring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Burn Rate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Stacked area: cumulative spend vs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Module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Distribution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Delivery progress by LGA/ward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hours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Turnout Prediction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Projected turnout by LGA from ML model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Bi-weekly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Sent/delivered/read/responded by channel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Hub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Hourly</w:t>
            </w:r>
          </w:p>
        </w:tc>
      </w:tr>
    </w:tbl>
    <w:p>
      <w:pPr>
        <w:spacing w:after="200" w:before="80"/>
        <w:jc w:val="center"/>
      </w:pPr>
      <w:r>
        <w:rPr>
          <w:rFonts w:ascii="Calibri"/>
          <w:i/>
          <w:iCs/>
          <w:color w:val="5A7D68"/>
          <w:sz w:val="21"/>
          <w:szCs w:val="21"/>
        </w:rPr>
        <w:t xml:space="preserve">Table 7: Dashboard Widget Inventory</w:t>
      </w:r>
    </w:p>
    <w:p>
      <w:pPr>
        <w:pStyle w:val="Heading3"/>
        <w:spacing w:after="120" w:before="200"/>
        <w:outlineLvl w:val="2"/>
      </w:pPr>
      <w:r>
        <w:rPr>
          <w:rFonts w:ascii="Times New Roman"/>
          <w:b/>
          <w:bCs/>
          <w:color w:val="0F2B1C"/>
          <w:sz w:val="26"/>
          <w:szCs w:val="26"/>
        </w:rPr>
        <w:t xml:space="preserve">5.2.2 Interaction Features</w:t>
      </w:r>
    </w:p>
    <w:p>
      <w:pPr>
        <w:spacing w:after="120" w:line="312"/>
        <w:jc w:val="both"/>
      </w:pPr>
      <w:r>
        <w:rPr>
          <w:rFonts w:ascii="Times New Roman"/>
          <w:color w:val="1F2937"/>
          <w:sz w:val="24"/>
          <w:szCs w:val="24"/>
        </w:rPr>
        <w:t xml:space="preserve">Drill-Down Navigation: Every widget supports click-through to progressively detailed views. Clicking an LGA on the map opens ward-level metrics; clicking a ward reveals voter-level data. Breadcrumb trails at the top allow jumping back to any hierarchy level. Cross-Widget Filtering: Selecting an LGA on the map automatically filters all other widgets to that LGA. A global filter bar provides persistent date range, LGA, and coordinator filters across all widgets.</w:t>
      </w:r>
    </w:p>
    <w:p>
      <w:pPr>
        <w:spacing w:after="120" w:line="312"/>
        <w:jc w:val="both"/>
      </w:pPr>
      <w:r>
        <w:rPr>
          <w:rFonts w:ascii="Times New Roman"/>
          <w:color w:val="1F2937"/>
          <w:sz w:val="24"/>
          <w:szCs w:val="24"/>
        </w:rPr>
        <w:t xml:space="preserve">Alert and Notification System: Intelligent alert engine monitors all streams for conditions requiring attention. Critical alerts trigger on-screen notifications with audible chimes and support escalation chains for unanswered alerts. Users acknowledge, assign, and add notes creating an audit trail. Report Generation: One-click PDF and Excel reports with configurable templates, respecting user-level data permissions. Scheduled auto-distribution via email to configured recipient lists.</w:t>
      </w:r>
    </w:p>
    <w:p>
      <w:pPr>
        <w:pStyle w:val="Heading3"/>
        <w:spacing w:after="120" w:before="200"/>
        <w:outlineLvl w:val="2"/>
      </w:pPr>
      <w:r>
        <w:rPr>
          <w:rFonts w:ascii="Times New Roman"/>
          <w:b/>
          <w:bCs/>
          <w:color w:val="0F2B1C"/>
          <w:sz w:val="26"/>
          <w:szCs w:val="26"/>
        </w:rPr>
        <w:t xml:space="preserve">5.2.3 Role-Based Dashboard Templates</w:t>
      </w:r>
    </w:p>
    <w:p>
      <w:pPr>
        <w:spacing w:after="120" w:line="312"/>
        <w:jc w:val="both"/>
      </w:pPr>
      <w:r>
        <w:rPr>
          <w:rFonts w:ascii="Times New Roman"/>
          <w:color w:val="1F2937"/>
          <w:sz w:val="24"/>
          <w:szCs w:val="24"/>
        </w:rPr>
        <w:t xml:space="preserve">Rather than requiring every user to build their dashboard from scratch, the system provides pre-configured templates tailored to each organisational role. These templates can be used as-is or customised. The Campaign Director template emphasises high-level KPI cards, the geospatial map, incident tracker, and budget burn rate. The Data Analyst template prioritises sentiment trends, voter coverage metrics, data quality scores, and advanced filter controls. The Field Operations Director template highlights the activity timeline, volunteer heatmap, material distribution, and route coverage.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Primary Widgets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Layout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Cards, Map, Incidents, Budget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2x2 grid + sidebar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state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Sentiment, Coverage, Quality, Predictions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3-column analytical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 export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Timeline, Volunteers, Materials, Routes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Operations-focused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Reach, Sentiment, Response Rates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Communications-focused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Segment-level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Map, Tasks, Volunteers, Incidents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Compact mobile-adjacent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only</w:t>
            </w:r>
          </w:p>
        </w:tc>
      </w:tr>
    </w:tbl>
    <w:p>
      <w:pPr>
        <w:spacing w:after="200" w:before="80"/>
        <w:jc w:val="center"/>
      </w:pPr>
      <w:r>
        <w:rPr>
          <w:rFonts w:ascii="Calibri"/>
          <w:i/>
          <w:iCs/>
          <w:color w:val="5A7D68"/>
          <w:sz w:val="21"/>
          <w:szCs w:val="21"/>
        </w:rPr>
        <w:t xml:space="preserve">Table 8: Role-Based Dashboard Templates</w:t>
      </w:r>
    </w:p>
    <w:p>
      <w:pPr>
        <w:pStyle w:val="Heading3"/>
        <w:spacing w:after="120" w:before="200"/>
        <w:outlineLvl w:val="2"/>
      </w:pPr>
      <w:r>
        <w:rPr>
          <w:rFonts w:ascii="Times New Roman"/>
          <w:b/>
          <w:bCs/>
          <w:color w:val="0F2B1C"/>
          <w:sz w:val="26"/>
          <w:szCs w:val="26"/>
        </w:rPr>
        <w:t xml:space="preserve">5.2.4 Real-Time Data Pipeline</w:t>
      </w:r>
    </w:p>
    <w:p>
      <w:pPr>
        <w:spacing w:after="120" w:line="312"/>
        <w:jc w:val="both"/>
      </w:pPr>
      <w:r>
        <w:rPr>
          <w:rFonts w:ascii="Times New Roman"/>
          <w:color w:val="1F2937"/>
          <w:sz w:val="24"/>
          <w:szCs w:val="24"/>
        </w:rPr>
        <w:t xml:space="preserve">The dashboard's real-time capability is powered by a multi-layer data pipeline. A WebSocket server maintains persistent connections with all active dashboard sessions, pushing incremental data updates as they occur. For high-frequency data (incidents, alert counts), updates stream within two seconds of the originating event. For moderate-frequency data (KPI aggregations, volunteer counts), a polling interval of thirty seconds balances freshness with server load. The WebSocket connection includes automatic reconnection with exponential backoff, and a connection status indicator in the header shows green (connected), yellow (reconnecting), or red (disconnected) with a manual refresh button.</w:t>
      </w:r>
    </w:p>
    <w:p>
      <w:pPr>
        <w:spacing w:after="120" w:line="312"/>
        <w:jc w:val="both"/>
      </w:pPr>
      <w:r>
        <w:rPr>
          <w:rFonts w:ascii="Times New Roman"/>
          <w:color w:val="1F2937"/>
          <w:sz w:val="24"/>
          <w:szCs w:val="24"/>
        </w:rPr>
        <w:t xml:space="preserve">Client-side caching ensures that navigating between dashboard views is instantaneous. The dashboard framework implements optimistic UI updates, where user actions (like acknowledging an alert) immediately update the local display before server confirmation arrives. If the server rejects the action, the UI smoothly reverts with an explanatory toast notification, ensuring the user experience never feels sluggish even on variable network conditions.</w:t>
      </w:r>
    </w:p>
    <w:p>
      <w:pPr>
        <w:pStyle w:val="Heading2"/>
        <w:spacing w:after="160" w:before="280"/>
        <w:outlineLvl w:val="1"/>
      </w:pPr>
      <w:r>
        <w:rPr>
          <w:rFonts w:ascii="Times New Roman"/>
          <w:b/>
          <w:bCs/>
          <w:color w:val="0F2B1C"/>
          <w:sz w:val="28"/>
          <w:szCs w:val="28"/>
        </w:rPr>
        <w:t xml:space="preserve">5.3 Field Coordination Mobile Application</w:t>
      </w:r>
    </w:p>
    <w:p>
      <w:pPr>
        <w:pStyle w:val="Heading3"/>
        <w:spacing w:after="120" w:before="200"/>
        <w:outlineLvl w:val="2"/>
      </w:pPr>
      <w:r>
        <w:rPr>
          <w:rFonts w:ascii="Times New Roman"/>
          <w:b/>
          <w:bCs/>
          <w:color w:val="0F2B1C"/>
          <w:sz w:val="26"/>
          <w:szCs w:val="26"/>
        </w:rPr>
        <w:t xml:space="preserve">5.3.1 Module Overview</w:t>
      </w:r>
    </w:p>
    <w:p>
      <w:pPr>
        <w:spacing w:after="120" w:line="312"/>
        <w:jc w:val="both"/>
      </w:pPr>
      <w:r>
        <w:rPr>
          <w:rFonts w:ascii="Times New Roman"/>
          <w:color w:val="1F2937"/>
          <w:sz w:val="24"/>
          <w:szCs w:val="24"/>
        </w:rPr>
        <w:t xml:space="preserve">The Field Coordination Mobile Application is the primary tool for ward coordinators, field agents, and election observers. Built with React Native for cross-platform deployment, it provides comprehensive field operations tools that work seamlessly across all connectivity conditions through an offline-first architecture with automatic transparent synchronisation. The application is designed for Android 8.0+ devices, covering over 95% of the Nigerian smartphone market, with a target APK size of under 40MB to accommodate devices with limited storage.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Screen Flow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Daily Activity Logger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Structured forms for visits, calls, events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Tasks &gt; Log Visit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Search by name, PU, address; view profile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Voters &gt; Search &gt; Results &gt; Profile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Incident Reporter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Photos, location, severity, description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New &gt; Category &gt; Details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Route Optimiser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Optimised canvassing routes by priority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Tasks &gt; Route &gt; Start Navigation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Inbox</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Receive/acknowledge tasks, update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Inbox &gt; Detail &gt; Accept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Survey Tool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Structured surveys with skip logic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Home &gt; Surveys &gt; Questions &gt; Submit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Material Request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Request materials with quantity/type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&gt; Material Req &gt; Form &gt; Submit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chat with coordinator/HQ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Partial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Messages &gt; Conversation &gt; Compose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GPS Check-In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Verified check-in at events/PU</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Home &gt; Check-In &gt; Confirm location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Sync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View sync status, conflicts, manual trigger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Profile &gt; Sync Status &gt; Details</w:t>
            </w:r>
          </w:p>
        </w:tc>
      </w:tr>
    </w:tbl>
    <w:p>
      <w:pPr>
        <w:spacing w:after="200" w:before="80"/>
        <w:jc w:val="center"/>
      </w:pPr>
      <w:r>
        <w:rPr>
          <w:rFonts w:ascii="Calibri"/>
          <w:i/>
          <w:iCs/>
          <w:color w:val="5A7D68"/>
          <w:sz w:val="21"/>
          <w:szCs w:val="21"/>
        </w:rPr>
        <w:t xml:space="preserve">Table 9: Field App Feature Matrix</w:t>
      </w:r>
    </w:p>
    <w:p>
      <w:pPr>
        <w:pStyle w:val="Heading3"/>
        <w:spacing w:after="120" w:before="200"/>
        <w:outlineLvl w:val="2"/>
      </w:pPr>
      <w:r>
        <w:rPr>
          <w:rFonts w:ascii="Times New Roman"/>
          <w:b/>
          <w:bCs/>
          <w:color w:val="0F2B1C"/>
          <w:sz w:val="26"/>
          <w:szCs w:val="26"/>
        </w:rPr>
        <w:t xml:space="preserve">5.3.2 Offline-First Architecture</w:t>
      </w:r>
    </w:p>
    <w:p>
      <w:pPr>
        <w:spacing w:after="120" w:line="312"/>
        <w:jc w:val="both"/>
      </w:pPr>
      <w:r>
        <w:rPr>
          <w:rFonts w:ascii="Times New Roman"/>
          <w:color w:val="1F2937"/>
          <w:sz w:val="24"/>
          <w:szCs w:val="24"/>
        </w:rPr>
        <w:t xml:space="preserve">A local SQLite database mirrors the server schema for the user's assigned area. Initial data download (50-100 MB) prioritises critical data and defers large files to Wi-Fi. All offline modifications are recorded in a local change log with timestamps. Upon reconnection, the sync engine processes changes chronologically with configurable conflict resolution: merge for interaction logs, latest-timestamp-wins for task updates, server-precedence for deletions. A dedicated conflict resolution interface presents both versions side by side with diff highlighting, allowing the user to choose which version to keep or merge selected fields from each.</w:t>
      </w:r>
    </w:p>
    <w:p>
      <w:pPr>
        <w:spacing w:after="120" w:line="312"/>
        <w:jc w:val="both"/>
      </w:pPr>
      <w:r>
        <w:rPr>
          <w:rFonts w:ascii="Times New Roman"/>
          <w:color w:val="1F2937"/>
          <w:sz w:val="24"/>
          <w:szCs w:val="24"/>
        </w:rPr>
        <w:t xml:space="preserve">The sync engine uses a priority queue system where urgent data (incident reports, emergency alerts) is synchronised first, followed by operational data (visit logs, task updates), and finally reference data (voter records, segment definitions). A progress indicator in the notification bar shows sync activity with item count. Users can manually trigger sync from the profile screen, and the app automatically attempts sync when transitioning from background to foreground, when connectivity changes are detected, and at configurable intervals.</w:t>
      </w:r>
    </w:p>
    <w:p>
      <w:pPr>
        <w:pStyle w:val="Heading3"/>
        <w:spacing w:after="120" w:before="200"/>
        <w:outlineLvl w:val="2"/>
      </w:pPr>
      <w:r>
        <w:rPr>
          <w:rFonts w:ascii="Times New Roman"/>
          <w:b/>
          <w:bCs/>
          <w:color w:val="0F2B1C"/>
          <w:sz w:val="26"/>
          <w:szCs w:val="26"/>
        </w:rPr>
        <w:t xml:space="preserve">5.3.3 Screen-by-Screen UI Specification</w:t>
      </w:r>
    </w:p>
    <w:p>
      <w:pPr>
        <w:spacing w:after="120" w:line="312"/>
        <w:jc w:val="both"/>
      </w:pPr>
      <w:r>
        <w:rPr>
          <w:rFonts w:ascii="Times New Roman"/>
          <w:color w:val="1F2937"/>
          <w:sz w:val="24"/>
          <w:szCs w:val="24"/>
        </w:rPr>
        <w:t xml:space="preserve">The app uses a bottom navigation bar with five tabs: Home, Voters, Report, Messages, Profile. The Home screen shows a personalised greeting, task count with circular progress indicator, pending message badges, a horizontal scrollable quick-action bar (Log Visit, Report Incident, Check-In, Survey), and a prioritised task list. The Voters tab opens to a search-first interface with recently viewed voters and filter chips. The Report tab shows a card-based layout with colour-coded severity indicators and a prominent floating action button.</w:t>
      </w:r>
    </w:p>
    <w:p>
      <w:pPr>
        <w:spacing w:after="120" w:line="312"/>
        <w:jc w:val="both"/>
      </w:pPr>
      <w:r>
        <w:rPr>
          <w:rFonts w:ascii="Times New Roman"/>
          <w:color w:val="1F2937"/>
          <w:sz w:val="24"/>
          <w:szCs w:val="24"/>
        </w:rPr>
        <w:t xml:space="preserve">The Messages tab uses a conversation list with unread badges and last message preview. Individual conversations display messages in a familiar bubble layout: sent messages right-aligned in green-tinted bubbles, received messages left-aligned in white bubbles. The Profile tab provides settings, sync status (green check/orange spinner/red exclamation), language selection, notification preferences, and help. All touch targets are minimum 48x48dp with high-contrast text for outdoor use.</w:t>
      </w:r>
    </w:p>
    <w:p>
      <w:pPr>
        <w:pStyle w:val="Heading3"/>
        <w:spacing w:after="120" w:before="200"/>
        <w:outlineLvl w:val="2"/>
      </w:pPr>
      <w:r>
        <w:rPr>
          <w:rFonts w:ascii="Times New Roman"/>
          <w:b/>
          <w:bCs/>
          <w:color w:val="0F2B1C"/>
          <w:sz w:val="26"/>
          <w:szCs w:val="26"/>
        </w:rPr>
        <w:t xml:space="preserve">5.3.4 Form Builder and Dynamic Data Collection</w:t>
      </w:r>
    </w:p>
    <w:p>
      <w:pPr>
        <w:spacing w:after="120" w:line="312"/>
        <w:jc w:val="both"/>
      </w:pPr>
      <w:r>
        <w:rPr>
          <w:rFonts w:ascii="Times New Roman"/>
          <w:color w:val="1F2937"/>
          <w:sz w:val="24"/>
          <w:szCs w:val="24"/>
        </w:rPr>
        <w:t xml:space="preserve">The Field App includes a dynamic form engine that renders data collection forms defined by administrators in the web dashboard. This eliminates the need for app updates when survey questions change or new form types are introduced. Form field types supported include: single-line and multi-line text, numeric input with min/max validation, single-select and multi-select dropdowns, radio button groups, checkbox groups, date and time pickers, photo capture with automatic compression and geotagging, barcode/QR scanning, signature capture, and cascading selectors.</w:t>
      </w:r>
    </w:p>
    <w:p>
      <w:pPr>
        <w:spacing w:after="120" w:line="312"/>
        <w:jc w:val="both"/>
      </w:pPr>
      <w:r>
        <w:rPr>
          <w:rFonts w:ascii="Times New Roman"/>
          <w:color w:val="1F2937"/>
          <w:sz w:val="24"/>
          <w:szCs w:val="24"/>
        </w:rPr>
        <w:t xml:space="preserve">Each form supports conditional skip logic where the visibility of subsequent questions depends on previous answers. For example, if a respondent indicates they have not collected their PVC, the form skips detailed voting intention questions and instead shows a PVC collection guidance section. Forms also support field validation rules (required, minimum length, numeric range, phone format) with inline error messages. Form submissions are encrypted and queued for sync, with a local draft auto-save every thirty seconds to prevent data loss if the app is closed unexpectedly.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Field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UI 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Validation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Offline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Text (short)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Single-line input with character counter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Max length,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(long)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Multi-line textarea with counter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length, required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Numeric keypad, min/max bounds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Range, integer/decimal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Bottom sheet picker with search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Required, default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 Select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Chip-based selector with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Min/max selections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camera with compression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Max file size, geotag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(store locally)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Location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 pin drop + accuracy circle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Accuracy threshold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Barcode/QR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In-app scanner with auto-focus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Format validation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Signature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Finger-draw canvas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Required stroke count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Cascading Select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Linked dropdowns (LGA &gt; Ward &gt; PU)</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Dependency chain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10: Dynamic Form Field Types</w:t>
      </w:r>
    </w:p>
    <w:p>
      <w:pPr>
        <w:pStyle w:val="Heading3"/>
        <w:spacing w:after="120" w:before="200"/>
        <w:outlineLvl w:val="2"/>
      </w:pPr>
      <w:r>
        <w:rPr>
          <w:rFonts w:ascii="Times New Roman"/>
          <w:b/>
          <w:bCs/>
          <w:color w:val="0F2B1C"/>
          <w:sz w:val="26"/>
          <w:szCs w:val="26"/>
        </w:rPr>
        <w:t xml:space="preserve">5.3.5 GPS and Location Services</w:t>
      </w:r>
    </w:p>
    <w:p>
      <w:pPr>
        <w:spacing w:after="120" w:line="312"/>
        <w:jc w:val="both"/>
      </w:pPr>
      <w:r>
        <w:rPr>
          <w:rFonts w:ascii="Times New Roman"/>
          <w:color w:val="1F2937"/>
          <w:sz w:val="24"/>
          <w:szCs w:val="24"/>
        </w:rPr>
        <w:t xml:space="preserve">Location services are critical for field verification and incident reporting. The app requests location permission on first use with a clear explanation of why it is needed. GPS accuracy requirements vary by function: check-in requires 50-metre accuracy, incident reports require 100-metre accuracy, and route optimisation uses 200-metre accuracy to balance precision with battery consumption. When GPS signal is unavailable, the app falls back to network-based location estimation and displays the accuracy level to the user.</w:t>
      </w:r>
    </w:p>
    <w:p>
      <w:pPr>
        <w:spacing w:after="120" w:line="312"/>
        <w:jc w:val="both"/>
      </w:pPr>
      <w:r>
        <w:rPr>
          <w:rFonts w:ascii="Times New Roman"/>
          <w:color w:val="1F2937"/>
          <w:sz w:val="24"/>
          <w:szCs w:val="24"/>
        </w:rPr>
        <w:t xml:space="preserve">Battery optimisation is a primary design concern. The app uses a combination of strategies: significant location changes (triggers only when the device moves more than 500 metres) rather than continuous tracking, adaptive GPS polling intervals that increase when the device is stationary, background sync throttling on low battery (below 20%), and automatic pause of non-essential services during active phone calls. A battery usage screen in the Profile tab shows current drain rate and tips for extending battery life during long field days.</w:t>
      </w:r>
    </w:p>
    <w:p>
      <w:pPr>
        <w:pStyle w:val="Heading3"/>
        <w:spacing w:after="120" w:before="200"/>
        <w:outlineLvl w:val="2"/>
      </w:pPr>
      <w:r>
        <w:rPr>
          <w:rFonts w:ascii="Times New Roman"/>
          <w:b/>
          <w:bCs/>
          <w:color w:val="0F2B1C"/>
          <w:sz w:val="26"/>
          <w:szCs w:val="26"/>
        </w:rPr>
        <w:t xml:space="preserve">5.3.6 Onboarding Flow</w:t>
      </w:r>
    </w:p>
    <w:p>
      <w:pPr>
        <w:spacing w:after="120" w:line="312"/>
        <w:jc w:val="both"/>
      </w:pPr>
      <w:r>
        <w:rPr>
          <w:rFonts w:ascii="Times New Roman"/>
          <w:color w:val="1F2937"/>
          <w:sz w:val="24"/>
          <w:szCs w:val="24"/>
        </w:rPr>
        <w:t xml:space="preserve">First-launch experience: Step 1 - Welcome screen with APC logo and app introduction. Step 2 - Credential entry (phone + OTP) and terms acceptance. Step 3 - Initial data download with progress bar showing data categories and estimated time remaining. Step 4 - Guided tour of the home screen using translucent tooltip overlays highlighting each UI element with swipe-through navigation. Users can skip and access the tour later from Profile. After onboarding, a 'Getting Started' checklist on the Home screen guides first key actions: complete profile, log first visit, send first message, submit first report.</w:t>
      </w:r>
    </w:p>
    <w:p>
      <w:pPr>
        <w:pStyle w:val="Heading2"/>
        <w:spacing w:after="160" w:before="280"/>
        <w:outlineLvl w:val="1"/>
      </w:pPr>
      <w:r>
        <w:rPr>
          <w:rFonts w:ascii="Times New Roman"/>
          <w:b/>
          <w:bCs/>
          <w:color w:val="0F2B1C"/>
          <w:sz w:val="28"/>
          <w:szCs w:val="28"/>
        </w:rPr>
        <w:t xml:space="preserve">5.4 Election Monitoring and Incident Response</w:t>
      </w:r>
    </w:p>
    <w:p>
      <w:pPr>
        <w:pStyle w:val="Heading3"/>
        <w:spacing w:after="120" w:before="200"/>
        <w:outlineLvl w:val="2"/>
      </w:pPr>
      <w:r>
        <w:rPr>
          <w:rFonts w:ascii="Times New Roman"/>
          <w:b/>
          <w:bCs/>
          <w:color w:val="0F2B1C"/>
          <w:sz w:val="26"/>
          <w:szCs w:val="26"/>
        </w:rPr>
        <w:t xml:space="preserve">5.4.1 Incident Classification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Severity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Auto-Escalation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Intimidation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Threats or coercion near polling units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3+ to LGA coordinator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Ballot Tampering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Interference with ballot boxes/materials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Immediate to HQ + legal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Disenfranchisement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Voters turned away without cause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 from same PU escalates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 Buying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Money/goods offered for votes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from same LGA triggers alert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Violence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Altercations, weapons, mob activity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Level 4+ to security team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INEC Misconduct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Bias or negligence by officials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HQ for INEC liaison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Counting Irregularities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Procedure deviation, result manipulation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with photo evidence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Late materials, insufficient ballots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Escalate to logistics unit</w:t>
            </w:r>
          </w:p>
        </w:tc>
      </w:tr>
    </w:tbl>
    <w:p>
      <w:pPr>
        <w:spacing w:after="200" w:before="80"/>
        <w:jc w:val="center"/>
      </w:pPr>
      <w:r>
        <w:rPr>
          <w:rFonts w:ascii="Calibri"/>
          <w:i/>
          <w:iCs/>
          <w:color w:val="5A7D68"/>
          <w:sz w:val="21"/>
          <w:szCs w:val="21"/>
        </w:rPr>
        <w:t xml:space="preserve">Table 11: Incident Classification Framework</w:t>
      </w:r>
    </w:p>
    <w:p>
      <w:pPr>
        <w:pStyle w:val="Heading3"/>
        <w:spacing w:after="120" w:before="200"/>
        <w:outlineLvl w:val="2"/>
      </w:pPr>
      <w:r>
        <w:rPr>
          <w:rFonts w:ascii="Times New Roman"/>
          <w:b/>
          <w:bCs/>
          <w:color w:val="0F2B1C"/>
          <w:sz w:val="26"/>
          <w:szCs w:val="26"/>
        </w:rPr>
        <w:t xml:space="preserve">5.4.2 Escalation Workflow</w:t>
      </w:r>
    </w:p>
    <w:p>
      <w:pPr>
        <w:spacing w:after="120" w:line="312"/>
        <w:jc w:val="both"/>
      </w:pPr>
      <w:r>
        <w:rPr>
          <w:rFonts w:ascii="Times New Roman"/>
          <w:color w:val="1F2937"/>
          <w:sz w:val="24"/>
          <w:szCs w:val="24"/>
        </w:rPr>
        <w:t xml:space="preserve">The incident escalation system follows a structured four-level workflow designed to ensure that every incident receives an appropriate response within defined timeframes. Level 1 (Ward) is handled by the on-site observer or ward coordinator who reports the incident and provides initial assessment. Level 2 (LGA) escalation is triggered when the ward coordinator cannot resolve the issue or when severity exceeds predefined thresholds. Level 3 (State HQ) escalation activates the situation room team, legal support, and potentially law enforcement liaisons for severity 4-5 incidents. Level 4 (National) escalation is reserved for incidents with state-wide implications.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Level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Responder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Trigger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Max Response Time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Any incident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Report, assess, document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LGA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Severity 3+ or unresolved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Mobilise resources, contact INEC LGA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Severity 4-5 or pattern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Legal, security, media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HQ</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Systematic or critical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National coordination, public response</w:t>
            </w:r>
          </w:p>
        </w:tc>
      </w:tr>
    </w:tbl>
    <w:p>
      <w:pPr>
        <w:spacing w:after="200" w:before="80"/>
        <w:jc w:val="center"/>
      </w:pPr>
      <w:r>
        <w:rPr>
          <w:rFonts w:ascii="Calibri"/>
          <w:i/>
          <w:iCs/>
          <w:color w:val="5A7D68"/>
          <w:sz w:val="21"/>
          <w:szCs w:val="21"/>
        </w:rPr>
        <w:t xml:space="preserve">Table 12: Escalation Response Matrix</w:t>
      </w:r>
    </w:p>
    <w:p>
      <w:pPr>
        <w:pStyle w:val="Heading3"/>
        <w:spacing w:after="120" w:before="200"/>
        <w:outlineLvl w:val="2"/>
      </w:pPr>
      <w:r>
        <w:rPr>
          <w:rFonts w:ascii="Times New Roman"/>
          <w:b/>
          <w:bCs/>
          <w:color w:val="0F2B1C"/>
          <w:sz w:val="26"/>
          <w:szCs w:val="26"/>
        </w:rPr>
        <w:t xml:space="preserve">5.4.3 Observer Management and Situation Room</w:t>
      </w:r>
    </w:p>
    <w:p>
      <w:pPr>
        <w:spacing w:after="120" w:line="312"/>
        <w:jc w:val="both"/>
      </w:pPr>
      <w:r>
        <w:rPr>
          <w:rFonts w:ascii="Times New Roman"/>
          <w:color w:val="1F2937"/>
          <w:sz w:val="24"/>
          <w:szCs w:val="24"/>
        </w:rPr>
        <w:t xml:space="preserve">Observers complete mandatory training via the LMS module, passing a certification quiz before receiving polling unit assignments. On election day, observers check in via GPS-verified proximity (within 100-metre radius of assigned PU), confirming their physical presence before the monitoring system activates their incident reporting capabilities. The situation room displays a real-time state map with colour-coded PU indicators: green (normal operations), yellow (minor issues reported), orange (active investigation or escalation underway), red (critical intervention required), and grey (observer not yet checked in).</w:t>
      </w:r>
    </w:p>
    <w:p>
      <w:pPr>
        <w:spacing w:after="120" w:line="312"/>
        <w:jc w:val="both"/>
      </w:pPr>
      <w:r>
        <w:rPr>
          <w:rFonts w:ascii="Times New Roman"/>
          <w:color w:val="1F2937"/>
          <w:sz w:val="24"/>
          <w:szCs w:val="24"/>
        </w:rPr>
        <w:t xml:space="preserve">The situation room interface is designed for wall-mounted displays and supports multiple simultaneous views. The primary view shows the full state map with aggregate statistics in a side panel: total PUs, observer check-in rate, active incidents by severity, and escalation status distribution. A secondary view cycles through individual incident cards showing photo evidence, description, assigned responder, and time-since-report. The situation room audio system provides spoken alerts for new critical incidents.</w:t>
      </w:r>
    </w:p>
    <w:p>
      <w:pPr>
        <w:pStyle w:val="Heading3"/>
        <w:spacing w:after="120" w:before="200"/>
        <w:outlineLvl w:val="2"/>
      </w:pPr>
      <w:r>
        <w:rPr>
          <w:rFonts w:ascii="Times New Roman"/>
          <w:b/>
          <w:bCs/>
          <w:color w:val="0F2B1C"/>
          <w:sz w:val="26"/>
          <w:szCs w:val="26"/>
        </w:rPr>
        <w:t xml:space="preserve">5.4.4 Automated Pattern Detection</w:t>
      </w:r>
    </w:p>
    <w:p>
      <w:pPr>
        <w:spacing w:after="120" w:line="312"/>
        <w:jc w:val="both"/>
      </w:pPr>
      <w:r>
        <w:rPr>
          <w:rFonts w:ascii="Times New Roman"/>
          <w:color w:val="1F2937"/>
          <w:sz w:val="24"/>
          <w:szCs w:val="24"/>
        </w:rPr>
        <w:t xml:space="preserve">Beyond individual incident response, the monitoring module includes an automated pattern detection engine that analyses incoming incident reports in real time to identify systemic issues. The engine uses spatial clustering algorithms (DBSCAN) to detect geographic concentrations of incidents that may indicate coordinated manipulation, temporal analysis to identify spikes in incident rates that deviate from baseline patterns, and categorical correlation to find relationships between incident types that suggest organised electoral fraud. When a pattern is detected, the system automatically generates a Situation Brief delivered to the Campaign Director and relevant Deputy Directors, including a summary narrative, affected areas, incident count, severity distribution, and recommended response actions.</w:t>
      </w:r>
    </w:p>
    <w:p>
      <w:pPr>
        <w:pStyle w:val="Heading2"/>
        <w:spacing w:after="160" w:before="280"/>
        <w:outlineLvl w:val="1"/>
      </w:pPr>
      <w:r>
        <w:rPr>
          <w:rFonts w:ascii="Times New Roman"/>
          <w:b/>
          <w:bCs/>
          <w:color w:val="0F2B1C"/>
          <w:sz w:val="28"/>
          <w:szCs w:val="28"/>
        </w:rPr>
        <w:t xml:space="preserve">5.5 Communication and Messaging Hub</w:t>
      </w:r>
    </w:p>
    <w:p>
      <w:pPr>
        <w:pStyle w:val="Heading3"/>
        <w:spacing w:after="120" w:before="200"/>
        <w:outlineLvl w:val="2"/>
      </w:pPr>
      <w:r>
        <w:rPr>
          <w:rFonts w:ascii="Times New Roman"/>
          <w:b/>
          <w:bCs/>
          <w:color w:val="0F2B1C"/>
          <w:sz w:val="26"/>
          <w:szCs w:val="26"/>
        </w:rPr>
        <w:t xml:space="preserve">5.5.1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Broadcast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Send to segments with personalised merge fields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Segment selector +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Auto-personalisation from VID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Library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Pre-approved templates with variable placeholders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gallery with preview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Merge field auto-population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Scheduled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optimal-time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Date/time picker + scheduler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Auto-optimal time suggestion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Two-Way SMS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Receive/reply to voters; classify responses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Inbox + reply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NLP sentiment classification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WhatsApp Groups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groups mirroring 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Group tree + broadcast composer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Auto-group from org chart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Push Notifications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Targeted by role, location, segment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Audience builder + editor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Trigger-based auto-rules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Message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Delivery/open/response rates per campaign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Multi-channel analytics 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Auto-generated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Compliance Filter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 content for INEC violations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Inline warning in composer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content scanning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Emergency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Override for critical immediate delivery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Red alert button (top-right)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Immediate + read confirmation</w:t>
            </w:r>
          </w:p>
        </w:tc>
      </w:tr>
    </w:tbl>
    <w:p>
      <w:pPr>
        <w:spacing w:after="200" w:before="80"/>
        <w:jc w:val="center"/>
      </w:pPr>
      <w:r>
        <w:rPr>
          <w:rFonts w:ascii="Calibri"/>
          <w:i/>
          <w:iCs/>
          <w:color w:val="5A7D68"/>
          <w:sz w:val="21"/>
          <w:szCs w:val="21"/>
        </w:rPr>
        <w:t xml:space="preserve">Table 13: Communication Hub Features</w:t>
      </w:r>
    </w:p>
    <w:p>
      <w:pPr>
        <w:pStyle w:val="Heading3"/>
        <w:spacing w:after="120" w:before="200"/>
        <w:outlineLvl w:val="2"/>
      </w:pPr>
      <w:r>
        <w:rPr>
          <w:rFonts w:ascii="Times New Roman"/>
          <w:b/>
          <w:bCs/>
          <w:color w:val="0F2B1C"/>
          <w:sz w:val="26"/>
          <w:szCs w:val="26"/>
        </w:rPr>
        <w:t xml:space="preserve">5.5.2 Template Engine and Personalisation</w:t>
      </w:r>
    </w:p>
    <w:p>
      <w:pPr>
        <w:spacing w:after="120" w:line="312"/>
        <w:jc w:val="both"/>
      </w:pPr>
      <w:r>
        <w:rPr>
          <w:rFonts w:ascii="Times New Roman"/>
          <w:color w:val="1F2937"/>
          <w:sz w:val="24"/>
          <w:szCs w:val="24"/>
        </w:rPr>
        <w:t xml:space="preserve">The template engine supports rich message templates with variable placeholders that are dynamically populated from voter records. Available merge fields include: first name, last name, polling unit name, ward, LGA, assigned coordinator name, nearest collation centre, PVC collection point, and custom fields from the engagement history. Templates support conditional blocks, allowing message content to vary based on voter attributes. For example, a single template can render different content for voters who have collected their PVC versus those who have not, using conditional syntax.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Merge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Source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Example Output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Format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Demographics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Aisha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{{polling_unit}}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012/034/005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Geographic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03 - Badawa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{{pvc_status}}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Electoral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Collected / Not Collected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{{coordinator_name}}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Org 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Malam Ibrahim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{{collection_centre}}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Module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Central Primary School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Plain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{{sentiment}}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Predictive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Positive / Neutral / Negative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Conditional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{{last_contact_date}}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Engagement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12 August 2026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Date formatted</w:t>
            </w:r>
          </w:p>
        </w:tc>
      </w:tr>
    </w:tbl>
    <w:p>
      <w:pPr>
        <w:spacing w:after="200" w:before="80"/>
        <w:jc w:val="center"/>
      </w:pPr>
      <w:r>
        <w:rPr>
          <w:rFonts w:ascii="Calibri"/>
          <w:i/>
          <w:iCs/>
          <w:color w:val="5A7D68"/>
          <w:sz w:val="21"/>
          <w:szCs w:val="21"/>
        </w:rPr>
        <w:t xml:space="preserve">Table 14: Message Template Merge Fields</w:t>
      </w:r>
    </w:p>
    <w:p>
      <w:pPr>
        <w:pStyle w:val="Heading3"/>
        <w:spacing w:after="120" w:before="200"/>
        <w:outlineLvl w:val="2"/>
      </w:pPr>
      <w:r>
        <w:rPr>
          <w:rFonts w:ascii="Times New Roman"/>
          <w:b/>
          <w:bCs/>
          <w:color w:val="0F2B1C"/>
          <w:sz w:val="26"/>
          <w:szCs w:val="26"/>
        </w:rPr>
        <w:t xml:space="preserve">5.5.3 Delivery Optimisation and Channel Strategy</w:t>
      </w:r>
    </w:p>
    <w:p>
      <w:pPr>
        <w:spacing w:after="120" w:line="312"/>
        <w:jc w:val="both"/>
      </w:pPr>
      <w:r>
        <w:rPr>
          <w:rFonts w:ascii="Times New Roman"/>
          <w:color w:val="1F2937"/>
          <w:sz w:val="24"/>
          <w:szCs w:val="24"/>
        </w:rPr>
        <w:t xml:space="preserve">The Communication Hub implements intelligent delivery optimisation to maximise message reach while minimising cost and recipient fatigue. An AI-driven send-time optimiser analyses historical engagement data to determine the optimal delivery window for each recipient, scheduling messages during periods of highest likely engagement. For SMS, the system implements message concatenation for messages exceeding 160 characters and supports Unicode encoding for messages in Hausa, Yoruba, or Igbo languages.</w:t>
      </w:r>
    </w:p>
    <w:p>
      <w:pPr>
        <w:spacing w:after="120" w:line="312"/>
        <w:jc w:val="both"/>
      </w:pPr>
      <w:r>
        <w:rPr>
          <w:rFonts w:ascii="Times New Roman"/>
          <w:color w:val="1F2937"/>
          <w:sz w:val="24"/>
          <w:szCs w:val="24"/>
        </w:rPr>
        <w:t xml:space="preserve">Channel selection is automatic based on recipient preferences and message type. Transactional messages (task assignments, reminders) default to SMS for maximum reach. Rich content (event invitations with images, campaign materials) routes through WhatsApp. Internal communications between staff use the in-app messaging system. The hub maintains a channel preference registry where voters can specify their preferred contact method, and the system respects these preferences across all outbound communications.</w:t>
      </w:r>
    </w:p>
    <w:p>
      <w:pPr>
        <w:pStyle w:val="Heading3"/>
        <w:spacing w:after="120" w:before="200"/>
        <w:outlineLvl w:val="2"/>
      </w:pPr>
      <w:r>
        <w:rPr>
          <w:rFonts w:ascii="Times New Roman"/>
          <w:b/>
          <w:bCs/>
          <w:color w:val="0F2B1C"/>
          <w:sz w:val="26"/>
          <w:szCs w:val="26"/>
        </w:rPr>
        <w:t xml:space="preserve">5.5.4 Response Management and Analytics</w:t>
      </w:r>
    </w:p>
    <w:p>
      <w:pPr>
        <w:spacing w:after="120" w:line="312"/>
        <w:jc w:val="both"/>
      </w:pPr>
      <w:r>
        <w:rPr>
          <w:rFonts w:ascii="Times New Roman"/>
          <w:color w:val="1F2937"/>
          <w:sz w:val="24"/>
          <w:szCs w:val="24"/>
        </w:rPr>
        <w:t xml:space="preserve">Incoming responses across all channels are aggregated into a unified inbox where communication officers can view, classify, and respond. The system auto-classifies responses using NLP sentiment analysis (positive, neutral, negative, question, complaint, unsubscribe) with a confidence threshold. Responses below the confidence threshold are flagged for manual review. Every response is linked to the voter's profile, creating a complete communication history accessible to field agents during door-to-door engagements.</w:t>
      </w:r>
    </w:p>
    <w:p>
      <w:pPr>
        <w:spacing w:after="120" w:line="312"/>
        <w:jc w:val="both"/>
      </w:pPr>
      <w:r>
        <w:rPr>
          <w:rFonts w:ascii="Times New Roman"/>
          <w:color w:val="1F2937"/>
          <w:sz w:val="24"/>
          <w:szCs w:val="24"/>
        </w:rPr>
        <w:t xml:space="preserve">Analytics dashboards track per-campaign and aggregate metrics: delivery rate (messages successfully sent versus total), read rate (messages opened, where supported by the channel), response rate, conversion rate (recipients who took the desired action), and opt-out rate. Funnel visualisations show the progression from sent to delivered to read to responded to converted, with drop-off analysis highlighting where campaigns lose audience attention. A/B testing support allows sending variant messages to random subsets and comparing performance before full deployment.</w:t>
      </w:r>
    </w:p>
    <w:p>
      <w:pPr>
        <w:pStyle w:val="Heading2"/>
        <w:spacing w:after="160" w:before="280"/>
        <w:outlineLvl w:val="1"/>
      </w:pPr>
      <w:r>
        <w:rPr>
          <w:rFonts w:ascii="Times New Roman"/>
          <w:b/>
          <w:bCs/>
          <w:color w:val="0F2B1C"/>
          <w:sz w:val="28"/>
          <w:szCs w:val="28"/>
        </w:rPr>
        <w:t xml:space="preserve">5.6 Volunteer Management System (VMS)</w:t>
      </w:r>
    </w:p>
    <w:p>
      <w:pPr>
        <w:pStyle w:val="Heading3"/>
        <w:spacing w:after="120" w:before="200"/>
        <w:outlineLvl w:val="2"/>
      </w:pPr>
      <w:r>
        <w:rPr>
          <w:rFonts w:ascii="Times New Roman"/>
          <w:b/>
          <w:bCs/>
          <w:color w:val="0F2B1C"/>
          <w:sz w:val="26"/>
          <w:szCs w:val="26"/>
        </w:rPr>
        <w:t xml:space="preserve">5.6.1 Feature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Feature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Smart Scheduling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 based on skills, location, availability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Calendar + drag-drop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Optimal matching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Management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Shift patterns for election day; check-in/out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Timeline with capacity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coverage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Scoring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Track tasks, attendance, data quality, response time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with trend charts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Reward top performers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Gamification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Badges, points, leaderboards for milestones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Badge showcase + leaderboard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Motivation and retention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Proximity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Auto-assign nearby volunteers to incidents by GPS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Alert with accept/decline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Rapid response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Availability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 set availability; prevent over-scheduling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Self-service calendar in app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Sustainable engagement</w:t>
            </w:r>
          </w:p>
        </w:tc>
      </w:tr>
    </w:tbl>
    <w:p>
      <w:pPr>
        <w:spacing w:after="200" w:before="80"/>
        <w:jc w:val="center"/>
      </w:pPr>
      <w:r>
        <w:rPr>
          <w:rFonts w:ascii="Calibri"/>
          <w:i/>
          <w:iCs/>
          <w:color w:val="5A7D68"/>
          <w:sz w:val="21"/>
          <w:szCs w:val="21"/>
        </w:rPr>
        <w:t xml:space="preserve">Table 15: Volunteer Management Features</w:t>
      </w:r>
    </w:p>
    <w:p>
      <w:pPr>
        <w:pStyle w:val="Heading3"/>
        <w:spacing w:after="120" w:before="200"/>
        <w:outlineLvl w:val="2"/>
      </w:pPr>
      <w:r>
        <w:rPr>
          <w:rFonts w:ascii="Times New Roman"/>
          <w:b/>
          <w:bCs/>
          <w:color w:val="0F2B1C"/>
          <w:sz w:val="26"/>
          <w:szCs w:val="26"/>
        </w:rPr>
        <w:t xml:space="preserve">5.6.2 Recruitment Pipeline and Onboarding</w:t>
      </w:r>
    </w:p>
    <w:p>
      <w:pPr>
        <w:spacing w:after="120" w:line="312"/>
        <w:jc w:val="both"/>
      </w:pPr>
      <w:r>
        <w:rPr>
          <w:rFonts w:ascii="Times New Roman"/>
          <w:color w:val="1F2937"/>
          <w:sz w:val="24"/>
          <w:szCs w:val="24"/>
        </w:rPr>
        <w:t xml:space="preserve">The VMS manages the complete volunteer lifecycle from initial interest to post-election recognition. The recruitment pipeline supports multiple entry points: a public web form linked from party social media accounts, unique referral links that credit the referring volunteer, QR codes printed on campaign materials for scan-to-register at events, and direct coordinator entry for volunteers identified through community networks.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Automated 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Exit Criteria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registration received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Welcome SMS + onboarding link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Profile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Background check and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Assignment to verifier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Verification passed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Training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training modules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Module reminders + progress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modules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Quiz/assessment passed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Certificate issued, badge awarded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Score above 80%</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Available for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Task notifications enabled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shift completed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Alumni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Post-election recognition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Thank-you message + future invite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Campaign concluded</w:t>
            </w:r>
          </w:p>
        </w:tc>
      </w:tr>
    </w:tbl>
    <w:p>
      <w:pPr>
        <w:spacing w:after="200" w:before="80"/>
        <w:jc w:val="center"/>
      </w:pPr>
      <w:r>
        <w:rPr>
          <w:rFonts w:ascii="Calibri"/>
          <w:i/>
          <w:iCs/>
          <w:color w:val="5A7D68"/>
          <w:sz w:val="21"/>
          <w:szCs w:val="21"/>
        </w:rPr>
        <w:t xml:space="preserve">Table 16: Volunteer Recruitment Pipeline</w:t>
      </w:r>
    </w:p>
    <w:p>
      <w:pPr>
        <w:pStyle w:val="Heading3"/>
        <w:spacing w:after="120" w:before="200"/>
        <w:outlineLvl w:val="2"/>
      </w:pPr>
      <w:r>
        <w:rPr>
          <w:rFonts w:ascii="Times New Roman"/>
          <w:b/>
          <w:bCs/>
          <w:color w:val="0F2B1C"/>
          <w:sz w:val="26"/>
          <w:szCs w:val="26"/>
        </w:rPr>
        <w:t xml:space="preserve">5.6.3 Performance Scoring Algorithm</w:t>
      </w:r>
    </w:p>
    <w:p>
      <w:pPr>
        <w:spacing w:after="120" w:line="312"/>
        <w:jc w:val="both"/>
      </w:pPr>
      <w:r>
        <w:rPr>
          <w:rFonts w:ascii="Times New Roman"/>
          <w:color w:val="1F2937"/>
          <w:sz w:val="24"/>
          <w:szCs w:val="24"/>
        </w:rPr>
        <w:t xml:space="preserve">The VMS employs a multi-dimensional performance scoring algorithm that provides a holistic view of each volunteer's contribution. The score is composed of five weighted factors: Task Completion Rate (30%) measuring the percentage of assigned tasks completed on time, Data Quality Score (25%) evaluating the accuracy and completeness of submitted reports, Attendance Adherence (20%) tracking shift check-in and check-out punctuality, Response Time (15%) measuring how quickly the volunteer acknowledges and accepts task assignments, and Peer Rating (10%) aggregating ratings from coordinators and fellow volunteers. The composite score ranges from 0 to 100 and is displayed as a trend line on the volunteer's profile.</w:t>
      </w:r>
    </w:p>
    <w:p>
      <w:pPr>
        <w:pStyle w:val="Heading3"/>
        <w:spacing w:after="120" w:before="200"/>
        <w:outlineLvl w:val="2"/>
      </w:pPr>
      <w:r>
        <w:rPr>
          <w:rFonts w:ascii="Times New Roman"/>
          <w:b/>
          <w:bCs/>
          <w:color w:val="0F2B1C"/>
          <w:sz w:val="26"/>
          <w:szCs w:val="26"/>
        </w:rPr>
        <w:t xml:space="preserve">5.6.4 Gamification and Recognition</w:t>
      </w:r>
    </w:p>
    <w:p>
      <w:pPr>
        <w:spacing w:after="120" w:line="312"/>
        <w:jc w:val="both"/>
      </w:pPr>
      <w:r>
        <w:rPr>
          <w:rFonts w:ascii="Times New Roman"/>
          <w:color w:val="1F2937"/>
          <w:sz w:val="24"/>
          <w:szCs w:val="24"/>
        </w:rPr>
        <w:t xml:space="preserve">The gamification system is designed to drive sustained engagement through meaningful recognition rather than trivial rewards. Badges are awarded for specific achievements: 'First Contact' for completing the first voter visit, 'Century Club' for logging 100 interactions, 'Rapid Responder' for accepting tasks within five minutes, 'Data Champion' for maintaining a data quality score above 95 for four consecutive weeks, and 'Election Day Hero' for completing a full election day shift. A leaderboard shows top performers by LGA and statewide, with weekly and all-time views. Points earned through activities are redeemable for campaign merchandise, event access, and certificate of service letters.</w:t>
      </w:r>
    </w:p>
    <w:p>
      <w:pPr>
        <w:pStyle w:val="Heading2"/>
        <w:spacing w:after="160" w:before="280"/>
        <w:outlineLvl w:val="1"/>
      </w:pPr>
      <w:r>
        <w:rPr>
          <w:rFonts w:ascii="Times New Roman"/>
          <w:b/>
          <w:bCs/>
          <w:color w:val="0F2B1C"/>
          <w:sz w:val="28"/>
          <w:szCs w:val="28"/>
        </w:rPr>
        <w:t xml:space="preserve">5.7 Financial Tracking and Resource Management</w:t>
      </w:r>
    </w:p>
    <w:p>
      <w:pPr>
        <w:pStyle w:val="Heading3"/>
        <w:spacing w:after="120" w:before="200"/>
        <w:outlineLvl w:val="2"/>
      </w:pPr>
      <w:r>
        <w:rPr>
          <w:rFonts w:ascii="Times New Roman"/>
          <w:b/>
          <w:bCs/>
          <w:color w:val="0F2B1C"/>
          <w:sz w:val="26"/>
          <w:szCs w:val="26"/>
        </w:rPr>
        <w:t xml:space="preserve">5.7.1 Expense Workflow</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Stage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UI Element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Automation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Budget Creation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Hierarchical budgets with owners and thresholds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Tree-structured builder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Auto-calculate totals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Expense Submission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Category, amount, receipt photo, project code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form + camera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Auto-categorisation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Routing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Route to approver; multi-level for large amounts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Approval queue + swipe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Threshold-based routing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Receipt Verification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Verify receipts against amounts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Side-by-side comparison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OCR amount extraction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Processing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Queue for payment; track status and method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Payment queue with status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Batch scheduling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Impact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Approved expenses reflected immediately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Live utilisation bars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Real-time recalculation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Audit Trail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Every action logged with full traceability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Immutable log viewer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Automatic (no user action)</w:t>
            </w:r>
          </w:p>
        </w:tc>
      </w:tr>
    </w:tbl>
    <w:p>
      <w:pPr>
        <w:spacing w:after="200" w:before="80"/>
        <w:jc w:val="center"/>
      </w:pPr>
      <w:r>
        <w:rPr>
          <w:rFonts w:ascii="Calibri"/>
          <w:i/>
          <w:iCs/>
          <w:color w:val="5A7D68"/>
          <w:sz w:val="21"/>
          <w:szCs w:val="21"/>
        </w:rPr>
        <w:t xml:space="preserve">Table 17: Expense Workflow</w:t>
      </w:r>
    </w:p>
    <w:p>
      <w:pPr>
        <w:pStyle w:val="Heading3"/>
        <w:spacing w:after="120" w:before="200"/>
        <w:outlineLvl w:val="2"/>
      </w:pPr>
      <w:r>
        <w:rPr>
          <w:rFonts w:ascii="Times New Roman"/>
          <w:b/>
          <w:bCs/>
          <w:color w:val="0F2B1C"/>
          <w:sz w:val="26"/>
          <w:szCs w:val="26"/>
        </w:rPr>
        <w:t xml:space="preserve">5.7.2 Budget Variance Analysis</w:t>
      </w:r>
    </w:p>
    <w:p>
      <w:pPr>
        <w:spacing w:after="120" w:line="312"/>
        <w:jc w:val="both"/>
      </w:pPr>
      <w:r>
        <w:rPr>
          <w:rFonts w:ascii="Times New Roman"/>
          <w:color w:val="1F2937"/>
          <w:sz w:val="24"/>
          <w:szCs w:val="24"/>
        </w:rPr>
        <w:t xml:space="preserve">The financial module provides real-time budget variance analysis at every level of the budget hierarchy. Each budget line tracks planned amount, committed amount (approved but not yet paid), spent amount (paid), remaining balance, and variance percentage. Colour-coded indicators provide instant visual feedback: green (under 80% utilised), amber (80-95% utilised), red (over 95% or overspent). When a budget line approaches its threshold, the system proactively alerts the budget owner and the Campaign Director, enabling early corrective action.</w:t>
      </w:r>
    </w:p>
    <w:p>
      <w:pPr>
        <w:spacing w:after="120" w:line="312"/>
        <w:jc w:val="both"/>
      </w:pPr>
      <w:r>
        <w:rPr>
          <w:rFonts w:ascii="Times New Roman"/>
          <w:color w:val="1F2937"/>
          <w:sz w:val="24"/>
          <w:szCs w:val="24"/>
        </w:rPr>
        <w:t xml:space="preserve">Variance analysis dashboards display trends over time, comparing actual spend against planned trajectories. Forecasting algorithms project end-of-period spend based on current burn rates, flagging budget lines that are likely to be exceeded before the campaign concludes. The system supports budget reallocation requests where a coordinator can request transferring unspent funds from one line to another, subject to approval workflows that maintain appropriate segregation of duties.</w:t>
      </w:r>
    </w:p>
    <w:p>
      <w:pPr>
        <w:pStyle w:val="Heading3"/>
        <w:spacing w:after="120" w:before="200"/>
        <w:outlineLvl w:val="2"/>
      </w:pPr>
      <w:r>
        <w:rPr>
          <w:rFonts w:ascii="Times New Roman"/>
          <w:b/>
          <w:bCs/>
          <w:color w:val="0F2B1C"/>
          <w:sz w:val="26"/>
          <w:szCs w:val="26"/>
        </w:rPr>
        <w:t xml:space="preserve">5.7.3 Procurement and Inventory Management</w:t>
      </w:r>
    </w:p>
    <w:p>
      <w:pPr>
        <w:spacing w:after="120" w:line="312"/>
        <w:jc w:val="both"/>
      </w:pPr>
      <w:r>
        <w:rPr>
          <w:rFonts w:ascii="Times New Roman"/>
          <w:color w:val="1F2937"/>
          <w:sz w:val="24"/>
          <w:szCs w:val="24"/>
        </w:rPr>
        <w:t xml:space="preserve">Inventory management tracks all campaign materials from procurement to distribution with full chain-of-custody documentation. Materials are categorised into hierarchies (e.g., Campaign Materials &gt; Print &gt; Posters &gt; A2 Size) with unit costs, minimum stock levels, and reorder points. Barcode and QR code scanning on the mobile app enables rapid stock verification at distribution points. The system generates automated purchase orders when stock falls below minimum thresholds, routes them through the approval workflow, and tracks delivery status from supplier to warehouse to field distribution point.</w:t>
      </w:r>
    </w:p>
    <w:p>
      <w:pPr>
        <w:spacing w:after="120" w:line="312"/>
        <w:jc w:val="both"/>
      </w:pPr>
      <w:r>
        <w:rPr>
          <w:rFonts w:ascii="Times New Roman"/>
          <w:color w:val="1F2937"/>
          <w:sz w:val="24"/>
          <w:szCs w:val="24"/>
        </w:rPr>
        <w:t xml:space="preserve">Distribution tracking records which materials were sent to which locations, in what quantities, and received by whom. Ward coordinators acknowledge receipt through the mobile app, creating a verified chain of custody. End-of-campaign reconciliation calculates actual cost per voter contacted, cost per volunteer mobilised, and cost per polling unit covered, providing granular cost-effectiveness metrics for future campaign planning.</w:t>
      </w:r>
    </w:p>
    <w:p>
      <w:pPr>
        <w:pStyle w:val="Heading2"/>
        <w:spacing w:after="160" w:before="280"/>
        <w:outlineLvl w:val="1"/>
      </w:pPr>
      <w:r>
        <w:rPr>
          <w:rFonts w:ascii="Times New Roman"/>
          <w:b/>
          <w:bCs/>
          <w:color w:val="0F2B1C"/>
          <w:sz w:val="28"/>
          <w:szCs w:val="28"/>
        </w:rPr>
        <w:t xml:space="preserve">5.8 Security, Compliance, and Data Governance</w:t>
      </w:r>
    </w:p>
    <w:p>
      <w:pPr>
        <w:pStyle w:val="Heading3"/>
        <w:spacing w:after="120" w:before="200"/>
        <w:outlineLvl w:val="2"/>
      </w:pPr>
      <w:r>
        <w:rPr>
          <w:rFonts w:ascii="Times New Roman"/>
          <w:b/>
          <w:bCs/>
          <w:color w:val="0F2B1C"/>
          <w:sz w:val="26"/>
          <w:szCs w:val="26"/>
        </w:rPr>
        <w:t xml:space="preserve">5.8.1 Role-Based Access Control</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Voter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Financial</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Incidents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Admin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Read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Module config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read/write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Segment (no PII)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Summary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Template mgmt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 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Assigned ward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Assigned PU create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Infrastructure only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Audit logs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Full</w:t>
            </w:r>
          </w:p>
        </w:tc>
      </w:tr>
    </w:tbl>
    <w:p>
      <w:pPr>
        <w:spacing w:after="200" w:before="80"/>
        <w:jc w:val="center"/>
      </w:pPr>
      <w:r>
        <w:rPr>
          <w:rFonts w:ascii="Calibri"/>
          <w:i/>
          <w:iCs/>
          <w:color w:val="5A7D68"/>
          <w:sz w:val="21"/>
          <w:szCs w:val="21"/>
        </w:rPr>
        <w:t xml:space="preserve">Table 18: RBAC Matrix</w:t>
      </w:r>
    </w:p>
    <w:p>
      <w:pPr>
        <w:pStyle w:val="Heading3"/>
        <w:spacing w:after="120" w:before="200"/>
        <w:outlineLvl w:val="2"/>
      </w:pPr>
      <w:r>
        <w:rPr>
          <w:rFonts w:ascii="Times New Roman"/>
          <w:b/>
          <w:bCs/>
          <w:color w:val="0F2B1C"/>
          <w:sz w:val="26"/>
          <w:szCs w:val="26"/>
        </w:rPr>
        <w:t xml:space="preserve">5.8.2 Encryption and Key Management</w:t>
      </w:r>
    </w:p>
    <w:p>
      <w:pPr>
        <w:spacing w:after="120" w:line="312"/>
        <w:jc w:val="both"/>
      </w:pPr>
      <w:r>
        <w:rPr>
          <w:rFonts w:ascii="Times New Roman"/>
          <w:color w:val="1F2937"/>
          <w:sz w:val="24"/>
          <w:szCs w:val="24"/>
        </w:rPr>
        <w:t xml:space="preserve">All personally identifiable information (PII) is encrypted at rest using AES-256-GCM and in transit using TLS 1.3. Encryption keys are managed through a dedicated Key Management Service (KMS) with automated 90-day rotation cycles and manual emergency rotation capability. Field-level encryption applies an additional layer of protection to the most sensitive data elements, such as voter phone numbers and residential addresses.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Data 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At Rest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 Transit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Rotation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PII (phone, address)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Application-layer only</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demographics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records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field-level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60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Finance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Incident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System audit logs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 HMAC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365 days auto</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IT Admin + Director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files (photos)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AES-256 at rest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TLS 1.3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90 days auto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RBAC-controlled</w:t>
            </w:r>
          </w:p>
        </w:tc>
      </w:tr>
    </w:tbl>
    <w:p>
      <w:pPr>
        <w:spacing w:after="200" w:before="80"/>
        <w:jc w:val="center"/>
      </w:pPr>
      <w:r>
        <w:rPr>
          <w:rFonts w:ascii="Calibri"/>
          <w:i/>
          <w:iCs/>
          <w:color w:val="5A7D68"/>
          <w:sz w:val="21"/>
          <w:szCs w:val="21"/>
        </w:rPr>
        <w:t xml:space="preserve">Table 19: Encryption Standards by Data Category</w:t>
      </w:r>
    </w:p>
    <w:p>
      <w:pPr>
        <w:pStyle w:val="Heading3"/>
        <w:spacing w:after="120" w:before="200"/>
        <w:outlineLvl w:val="2"/>
      </w:pPr>
      <w:r>
        <w:rPr>
          <w:rFonts w:ascii="Times New Roman"/>
          <w:b/>
          <w:bCs/>
          <w:color w:val="0F2B1C"/>
          <w:sz w:val="26"/>
          <w:szCs w:val="26"/>
        </w:rPr>
        <w:t xml:space="preserve">5.8.3 Audit Logging and Compliance Monitoring</w:t>
      </w:r>
    </w:p>
    <w:p>
      <w:pPr>
        <w:spacing w:after="120" w:line="312"/>
        <w:jc w:val="both"/>
      </w:pPr>
      <w:r>
        <w:rPr>
          <w:rFonts w:ascii="Times New Roman"/>
          <w:color w:val="1F2937"/>
          <w:sz w:val="24"/>
          <w:szCs w:val="24"/>
        </w:rPr>
        <w:t xml:space="preserve">Every user action that reads, creates, modifies, or deletes data is recorded in an immutable audit log. Each audit entry captures: user ID, role, action type, resource affected, timestamp (UTC with millisecond precision), IP address, device fingerprint, and before/after values for modifications. The audit log is stored in a separate database with write-once, read-many (WORM) access controls, preventing even system administrators from tampering with or deleting audit records. Automated compliance monitoring scans audit logs for suspicious patterns such as bulk data exports outside working hours or repeated failed access attempts, triggering real-time alerts.</w:t>
      </w:r>
    </w:p>
    <w:p>
      <w:pPr>
        <w:spacing w:after="120" w:line="312"/>
        <w:jc w:val="both"/>
      </w:pPr>
      <w:r>
        <w:rPr>
          <w:rFonts w:ascii="Times New Roman"/>
          <w:color w:val="1F2937"/>
          <w:sz w:val="24"/>
          <w:szCs w:val="24"/>
        </w:rPr>
        <w:t xml:space="preserve">Weekly security reports summarise key metrics: total active users, failed login attempts, data access patterns by role, top data consumers, and any flagged anomalies. Quarterly penetration testing by an independent security firm provides external validation of the platform's defences. Mandatory security awareness training must be completed by all staff before receiving system access, with annual refresher courses and simulated phishing exercises to maintain vigilance.</w:t>
      </w:r>
    </w:p>
    <w:p>
      <w:pPr>
        <w:pStyle w:val="Heading1"/>
        <w:spacing w:after="200" w:before="360"/>
        <w:outlineLvl w:val="0"/>
      </w:pPr>
      <w:r>
        <w:rPr>
          <w:rFonts w:ascii="Times New Roman"/>
          <w:b/>
          <w:bCs/>
          <w:color w:val="0F2B1C"/>
          <w:sz w:val="32"/>
          <w:szCs w:val="32"/>
        </w:rPr>
        <w:t xml:space="preserve">6. UI/UX Design Framework</w:t>
      </w:r>
    </w:p>
    <w:p>
      <w:pPr>
        <w:pStyle w:val="Heading2"/>
        <w:spacing w:after="160" w:before="280"/>
        <w:outlineLvl w:val="1"/>
      </w:pPr>
      <w:r>
        <w:rPr>
          <w:rFonts w:ascii="Times New Roman"/>
          <w:b/>
          <w:bCs/>
          <w:color w:val="0F2B1C"/>
          <w:sz w:val="28"/>
          <w:szCs w:val="28"/>
        </w:rPr>
        <w:t xml:space="preserve">6.1 Design Philosophy and Principles</w:t>
      </w:r>
    </w:p>
    <w:p>
      <w:pPr>
        <w:spacing w:after="120" w:line="312"/>
        <w:jc w:val="both"/>
      </w:pPr>
      <w:r>
        <w:rPr>
          <w:rFonts w:ascii="Times New Roman"/>
          <w:color w:val="1F2937"/>
          <w:sz w:val="24"/>
          <w:szCs w:val="24"/>
        </w:rPr>
        <w:t xml:space="preserve">The platform's user experience design follows four guiding tenets. Clarity Over Complexity mandates that every screen presents only the information necessary for the user's current task, removing all unnecessary visual elements. Progressive Disclosure reveals advanced features and detailed data only when explicitly requested, keeping the default interface clean and unintimidating for non-technical users. Error Prevention Over Error Correction designs forms and workflows to prevent mistakes through input validation, sensible defaults, and confirmation prompts for irreversible actions. Familiar Patterns ensures that common UI paradigms (bottom navigation bars, swipe-to-delete, pull-to-refresh) are used consistently so users transfer existing mobile literacy to the platform.</w:t>
      </w:r>
    </w:p>
    <w:p>
      <w:pPr>
        <w:pStyle w:val="Heading2"/>
        <w:spacing w:after="160" w:before="280"/>
        <w:outlineLvl w:val="1"/>
      </w:pPr>
      <w:r>
        <w:rPr>
          <w:rFonts w:ascii="Times New Roman"/>
          <w:b/>
          <w:bCs/>
          <w:color w:val="0F2B1C"/>
          <w:sz w:val="28"/>
          <w:szCs w:val="28"/>
        </w:rPr>
        <w:t xml:space="preserve">6.2 Visual Design Language</w:t>
      </w:r>
    </w:p>
    <w:p>
      <w:pPr>
        <w:spacing w:after="120" w:line="312"/>
        <w:jc w:val="both"/>
      </w:pPr>
      <w:r>
        <w:rPr>
          <w:rFonts w:ascii="Times New Roman"/>
          <w:color w:val="1F2937"/>
          <w:sz w:val="24"/>
          <w:szCs w:val="24"/>
        </w:rPr>
        <w:t xml:space="preserve">The visual design uses a clean, modern aesthetic with generous white space, crisp typography, and a restrained colour palette anchored by APC green (#007847). The interface uses a white or very light gray (#F9FAFB) background creating an airy, professional feel that reduces visual fatigue during extended use. APC green serves as the primary accent for buttons, links, active states, and positive indicators. A complementary teal (#0D9488) provides secondary interactive emphasis. Error states use warm red (#DC2626), warnings use amber (#D97706), and success uses APC green, creating an intuitive colour-language that communicates status without text labels.</w:t>
      </w:r>
    </w:p>
    <w:p>
      <w:pPr>
        <w:spacing w:after="120" w:line="312"/>
        <w:jc w:val="both"/>
      </w:pPr>
      <w:r>
        <w:rPr>
          <w:rFonts w:ascii="Times New Roman"/>
          <w:color w:val="1F2937"/>
          <w:sz w:val="24"/>
          <w:szCs w:val="24"/>
        </w:rPr>
        <w:t xml:space="preserve">Typography uses Inter for all interface elements, chosen for its on-screen readability, wide weight range (400-700), and comprehensive character set. Body text is set at 16px on web and 15sp on mobile with a 1.5 line-height. Headings use Inter Bold at 20-32px with a 1.3 line-height. A tabular-numeral variant ensures digit alignment in data tables. All spacing follows a consistent 8px grid system, creating visual rhythm and alignment consistency across all screens and components.</w:t>
      </w:r>
    </w:p>
    <w:p>
      <w:pPr>
        <w:pStyle w:val="Heading2"/>
        <w:spacing w:after="160" w:before="280"/>
        <w:outlineLvl w:val="1"/>
      </w:pPr>
      <w:r>
        <w:rPr>
          <w:rFonts w:ascii="Times New Roman"/>
          <w:b/>
          <w:bCs/>
          <w:color w:val="0F2B1C"/>
          <w:sz w:val="28"/>
          <w:szCs w:val="28"/>
        </w:rPr>
        <w:t xml:space="preserve">6.3 User Personas and Journey Maps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Persona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Profile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Device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Needs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Cognitive Load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50+, limited tech, strategic focus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High-level KPIs, alerts, drill-down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Graduate, tech-savvy, detail-oriented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Desktop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Advanced filters, export, queries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Moderate tech, manages 10-20 wards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 tablet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overview, broadcasting,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Variable tech, field-focused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Simple tasks, voter search, logger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Variable tech, high-stress context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(Android)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One-tap check-in, forms,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Very Low</w:t>
            </w:r>
          </w:p>
        </w:tc>
      </w:tr>
    </w:tbl>
    <w:p>
      <w:pPr>
        <w:spacing w:after="200" w:before="80"/>
        <w:jc w:val="center"/>
      </w:pPr>
      <w:r>
        <w:rPr>
          <w:rFonts w:ascii="Calibri"/>
          <w:i/>
          <w:iCs/>
          <w:color w:val="5A7D68"/>
          <w:sz w:val="21"/>
          <w:szCs w:val="21"/>
        </w:rPr>
        <w:t xml:space="preserve">Table 20: User Personas with Cognitive Load Profiles</w:t>
      </w:r>
    </w:p>
    <w:p>
      <w:pPr>
        <w:pStyle w:val="Heading3"/>
        <w:spacing w:after="120" w:before="200"/>
        <w:outlineLvl w:val="2"/>
      </w:pPr>
      <w:r>
        <w:rPr>
          <w:rFonts w:ascii="Times New Roman"/>
          <w:b/>
          <w:bCs/>
          <w:color w:val="0F2B1C"/>
          <w:sz w:val="26"/>
          <w:szCs w:val="26"/>
        </w:rPr>
        <w:t xml:space="preserve">6.3.1 Journey Map: Ward Coordinator Daily Workflow</w:t>
      </w:r>
    </w:p>
    <w:p>
      <w:pPr>
        <w:spacing w:after="120" w:line="312"/>
        <w:jc w:val="both"/>
      </w:pPr>
      <w:r>
        <w:rPr>
          <w:rFonts w:ascii="Times New Roman"/>
          <w:color w:val="1F2937"/>
          <w:sz w:val="24"/>
          <w:szCs w:val="24"/>
        </w:rPr>
        <w:t xml:space="preserve">Morning: Opens app to Home screen showing personalised greeting, task count with animated progress ring, and quick-action bar. Taps first task card which slides in from the right showing voter profile with name, address, issue preferences, and previous interaction notes. Taps 'Start Navigation' opening the route optimiser with turn-by-turn walking directions. After the visit, taps 'Log Visit' opening a structured form with slider sentiment ratings (1-5 with emoji labels), dropdown issue selectors, and free-text notes with a 500-character counter. Taps 'Submit' seeing a green checkmark pulse animation, then auto-returns to task list.</w:t>
      </w:r>
    </w:p>
    <w:p>
      <w:pPr>
        <w:spacing w:after="120" w:line="312"/>
        <w:jc w:val="both"/>
      </w:pPr>
      <w:r>
        <w:rPr>
          <w:rFonts w:ascii="Times New Roman"/>
          <w:color w:val="1F2937"/>
          <w:sz w:val="24"/>
          <w:szCs w:val="24"/>
        </w:rPr>
        <w:t xml:space="preserve">Incident Encounter: Taps Report tab's floating action button (green circle with plus icon, 56dp), opening a full-screen category selection with eight icon tiles in a 2-column grid with colour-coded borders. Taps 'Voter Intimidation' which slides to a severity selector with five colour-coded buttons from green (1-minor) to red (5-critical). After selecting severity, completes description form with camera button opening device camera in-app. Attaches photo, types description, taps 'Submit' receiving confirmation with incident ID, severity badge, and estimated response time.</w:t>
      </w:r>
    </w:p>
    <w:p>
      <w:pPr>
        <w:pStyle w:val="Heading3"/>
        <w:spacing w:after="120" w:before="200"/>
        <w:outlineLvl w:val="2"/>
      </w:pPr>
      <w:r>
        <w:rPr>
          <w:rFonts w:ascii="Times New Roman"/>
          <w:b/>
          <w:bCs/>
          <w:color w:val="0F2B1C"/>
          <w:sz w:val="26"/>
          <w:szCs w:val="26"/>
        </w:rPr>
        <w:t xml:space="preserve">6.3.2 Journey Map: Campaign Director Morning Briefing</w:t>
      </w:r>
    </w:p>
    <w:p>
      <w:pPr>
        <w:spacing w:after="120" w:line="312"/>
        <w:jc w:val="both"/>
      </w:pPr>
      <w:r>
        <w:rPr>
          <w:rFonts w:ascii="Times New Roman"/>
          <w:color w:val="1F2937"/>
          <w:sz w:val="24"/>
          <w:szCs w:val="24"/>
        </w:rPr>
        <w:t xml:space="preserve">The Campaign Director arrives at the office, opens the web dashboard. The system detects the morning login pattern and automatically loads the 'Morning Briefing' dashboard template: a prominent KPI row showing yesterday's totals, the geospatial map centred on the state with LGA-level colour coding, and an activity timeline filtered to the last 24 hours. The director clicks an LGA showing red on the map, which smoothly zooms to ward-level view and cross-filters all other widgets. After reviewing, clicks 'Share View', types the Data Director's name, and the exact filtered view is sent as a link.</w:t>
      </w:r>
    </w:p>
    <w:p>
      <w:pPr>
        <w:pStyle w:val="Heading2"/>
        <w:spacing w:after="160" w:before="280"/>
        <w:outlineLvl w:val="1"/>
      </w:pPr>
      <w:r>
        <w:rPr>
          <w:rFonts w:ascii="Times New Roman"/>
          <w:b/>
          <w:bCs/>
          <w:color w:val="0F2B1C"/>
          <w:sz w:val="28"/>
          <w:szCs w:val="28"/>
        </w:rPr>
        <w:t xml:space="preserve">6.4 Information Architecture and Navigation</w:t>
      </w:r>
    </w:p>
    <w:p>
      <w:pPr>
        <w:spacing w:after="120" w:line="312"/>
        <w:jc w:val="both"/>
      </w:pPr>
      <w:r>
        <w:rPr>
          <w:rFonts w:ascii="Times New Roman"/>
          <w:color w:val="1F2937"/>
          <w:sz w:val="24"/>
          <w:szCs w:val="24"/>
        </w:rPr>
        <w:t xml:space="preserve">Web Dashboard: Left sidebar (260px, collapsible to 64px icon-only rail) with four collapsible groups: Command Centre (Dashboard, Map, Alerts), Operations (Voters, Field, Volunteers, Monitoring), Management (Comms, Finance, Inventory, Reports), Administration (Users, Roles, Settings, Audit). Active item highlighted with APC green background pill and subtle left border accent (4px). Global search bar with instant results dropdown. On tablet (768-1024px), the sidebar collapses to a 64px icon-only rail that expands on tap with smooth slide animation.</w:t>
      </w:r>
    </w:p>
    <w:p>
      <w:pPr>
        <w:spacing w:after="120" w:line="312"/>
        <w:jc w:val="both"/>
      </w:pPr>
      <w:r>
        <w:rPr>
          <w:rFonts w:ascii="Times New Roman"/>
          <w:color w:val="1F2937"/>
          <w:sz w:val="24"/>
          <w:szCs w:val="24"/>
        </w:rPr>
        <w:t xml:space="preserve">Mobile App: Bottom tab bar with five destinations (Home, Voters, Report, Messages, Profile). Active tab: filled APC green icon with white label. Inactive tabs: outlined grey icon with grey label. Contextual navigation uses a top app bar with back arrow, screen title, and action buttons (maximum three). No critical function requires more than three taps from any screen.</w:t>
      </w:r>
    </w:p>
    <w:p>
      <w:pPr>
        <w:pStyle w:val="Heading2"/>
        <w:spacing w:after="160" w:before="280"/>
        <w:outlineLvl w:val="1"/>
      </w:pPr>
      <w:r>
        <w:rPr>
          <w:rFonts w:ascii="Times New Roman"/>
          <w:b/>
          <w:bCs/>
          <w:color w:val="0F2B1C"/>
          <w:sz w:val="28"/>
          <w:szCs w:val="28"/>
        </w:rPr>
        <w:t xml:space="preserve">6.5 Interaction Patterns and Micro-Interactions</w:t>
      </w:r>
    </w:p>
    <w:p>
      <w:pPr>
        <w:spacing w:after="120" w:line="312"/>
        <w:jc w:val="both"/>
      </w:pPr>
      <w:r>
        <w:rPr>
          <w:rFonts w:ascii="Times New Roman"/>
          <w:color w:val="1F2937"/>
          <w:sz w:val="24"/>
          <w:szCs w:val="24"/>
        </w:rPr>
        <w:t xml:space="preserve">Success Feedback: A green checkmark icon scales from 0.8x to 1.2x to 1.0x over 400 milliseconds with a subtle green colour pulse behind it, before auto-navigating back after 800 milliseconds. Error States: Inline validation messages below form fields with red left border (3px) and specific guidance text. The field border turns red and subtly shakes horizontally for 300 milliseconds. Loading States: Skeleton screens mimicking expected content layout with left-to-right shimmer animation. Pull-to-Refresh: Circular spinner replacing list header, showing 'Last updated: just now' on completion.</w:t>
      </w:r>
    </w:p>
    <w:p>
      <w:pPr>
        <w:spacing w:after="120" w:line="312"/>
        <w:jc w:val="both"/>
      </w:pPr>
      <w:r>
        <w:rPr>
          <w:rFonts w:ascii="Times New Roman"/>
          <w:color w:val="1F2937"/>
          <w:sz w:val="24"/>
          <w:szCs w:val="24"/>
        </w:rPr>
        <w:t xml:space="preserve">Touch Feedback: Buttons scale to 0.97x on press-down and spring back to 1.0x on release. List items support swipe-right to reveal contextual action buttons (Edit in blue, Delete in red, Share in green). Critical alerts (Level 4-5) use a full-screen overlay with red-tinted background gradient, requiring explicit button tap to dismiss. Chart Interactions: Hover tooltips with exact values, click-to-filter cross-filters all dashboard widgets, pinch-to-zoom on map with smooth animation transitions.</w:t>
      </w:r>
    </w:p>
    <w:p>
      <w:pPr>
        <w:pStyle w:val="Heading2"/>
        <w:spacing w:after="160" w:before="280"/>
        <w:outlineLvl w:val="1"/>
      </w:pPr>
      <w:r>
        <w:rPr>
          <w:rFonts w:ascii="Times New Roman"/>
          <w:b/>
          <w:bCs/>
          <w:color w:val="0F2B1C"/>
          <w:sz w:val="28"/>
          <w:szCs w:val="28"/>
        </w:rPr>
        <w:t xml:space="preserve">6.6 Component Library Specification</w:t>
      </w:r>
    </w:p>
    <w:p>
      <w:pPr>
        <w:spacing w:after="120" w:line="312"/>
        <w:jc w:val="both"/>
      </w:pPr>
      <w:r>
        <w:rPr>
          <w:rFonts w:ascii="Times New Roman"/>
          <w:color w:val="1F2937"/>
          <w:sz w:val="24"/>
          <w:szCs w:val="24"/>
        </w:rPr>
        <w:t xml:space="preserve">The platform uses a shared design system implemented as a React component library ensuring visual and behavioural consistency across web and mobile. Components are versioned and documented with interactive Storybook stories. Below is the core component inventory.</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Component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Variants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States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Primary, Secondary, Ghost, Danger, Icon-only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Active, Disabled,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focus ring,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Input Field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Text, Number, Search, Textarea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Focus, Error, Disabled, Success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Label, error msg, aria-described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Card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Standard, Interactive, Stat, Alert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Hover, Selected, Loading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Semantic heading, role attributes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Sortable, Filterable, Paginated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Empty, Loading, Error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Sort indicators, row headers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Modal / Dialog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Info, Confirmation, Form, Full-screen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Open, Closing, Closed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Focus trap, Escape close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Toast / Snackbar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Success, Error, Warning, Info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Visible, Exit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role=alert, auto-dismiss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Badge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Count, Status, Role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Pulse (unread)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aria-label for count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Dropdown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 Multi-select, Searchable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Closed, Open, Disabled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Keyboard nav, aria-expanded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Tab Bar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Web (horizontal), Mobile (bottom)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Active,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aria-selected, keyboard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Progress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Linear bar, Circular ring, Steps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Indeterminate, Determinate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aria-valuenow, label</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Chips / Tags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Filter, Status, Removable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Default, Selected, Disabled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Removable: button role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Avatar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Initials, Photo, Icon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Default, Online, Offline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alt text, status indicator</w:t>
            </w:r>
          </w:p>
        </w:tc>
      </w:tr>
    </w:tbl>
    <w:p>
      <w:pPr>
        <w:spacing w:after="200" w:before="80"/>
        <w:jc w:val="center"/>
      </w:pPr>
      <w:r>
        <w:rPr>
          <w:rFonts w:ascii="Calibri"/>
          <w:i/>
          <w:iCs/>
          <w:color w:val="5A7D68"/>
          <w:sz w:val="21"/>
          <w:szCs w:val="21"/>
        </w:rPr>
        <w:t xml:space="preserve">Table 21: Core UI Component Inventory</w:t>
      </w:r>
    </w:p>
    <w:p>
      <w:pPr>
        <w:pStyle w:val="Heading2"/>
        <w:spacing w:after="160" w:before="280"/>
        <w:outlineLvl w:val="1"/>
      </w:pPr>
      <w:r>
        <w:rPr>
          <w:rFonts w:ascii="Times New Roman"/>
          <w:b/>
          <w:bCs/>
          <w:color w:val="0F2B1C"/>
          <w:sz w:val="28"/>
          <w:szCs w:val="28"/>
        </w:rPr>
        <w:t xml:space="preserve">6.7 Data Visualisation Standards</w:t>
      </w:r>
    </w:p>
    <w:p>
      <w:pPr>
        <w:spacing w:after="120" w:line="312"/>
        <w:jc w:val="both"/>
      </w:pPr>
      <w:r>
        <w:rPr>
          <w:rFonts w:ascii="Times New Roman"/>
          <w:color w:val="1F2937"/>
          <w:sz w:val="24"/>
          <w:szCs w:val="24"/>
        </w:rPr>
        <w:t xml:space="preserve">All data visualisations follow a consistent visual grammar enabling users to interpret charts quickly and accurately. Chart colours use a sequential palette for ordered data (light to dark green) and a diverging palette for data with a meaningful centre point (red through white to green). The same data dimensions always use the same colours across all charts, creating a learnable colour-language.</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Chart Type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Use Case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Interactions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Accessibility</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Bar Chart (Vertical)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Comparing categories (voters per LGA)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tooltips,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Line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Trends over time (sentiment, turnout)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crosshair, range selector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Pie / Donut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Part-of-whole (severity distribution)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segment,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Choropleth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Geographic distribution (coverage by LGA)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LGA, click-to-drill, zoom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Colour legend + labels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Heatmap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Intensity (activity by day/hour)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cell, click-to-filter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Funnel Chart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Conversion stages (sent &gt; delivered &gt; read)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stage, click for details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Scatter Plot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Correlation (turnout vs outreach)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Hover point, lasso selection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KPI Card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Single metric with trend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Click to drill-down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Trend alt text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Gauge / Radial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Progress toward target (coverage %)</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fill on load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Percentage alt text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Tree Map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Hierarchical composition (budget)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Hover block, click-to-drill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table fallback</w:t>
            </w:r>
          </w:p>
        </w:tc>
      </w:tr>
    </w:tbl>
    <w:p>
      <w:pPr>
        <w:spacing w:after="200" w:before="80"/>
        <w:jc w:val="center"/>
      </w:pPr>
      <w:r>
        <w:rPr>
          <w:rFonts w:ascii="Calibri"/>
          <w:i/>
          <w:iCs/>
          <w:color w:val="5A7D68"/>
          <w:sz w:val="21"/>
          <w:szCs w:val="21"/>
        </w:rPr>
        <w:t xml:space="preserve">Table 22: Data Visualisation Chart Type Guidelines</w:t>
      </w:r>
    </w:p>
    <w:p>
      <w:pPr>
        <w:spacing w:after="120" w:line="312"/>
        <w:jc w:val="both"/>
      </w:pPr>
      <w:r>
        <w:rPr>
          <w:rFonts w:ascii="Times New Roman"/>
          <w:color w:val="1F2937"/>
          <w:sz w:val="24"/>
          <w:szCs w:val="24"/>
        </w:rPr>
        <w:t xml:space="preserve">All charts include a 'Download as PNG' and 'View Data' action. The 'View Data' action opens the underlying data table that powers the chart. Screen readers announce chart titles, type, and summary findings through ARIA descriptions. Animations are subtle (300ms ease-out for load, 200ms for state changes) and respect the user's reduced-motion preference setting.</w:t>
      </w:r>
    </w:p>
    <w:p>
      <w:pPr>
        <w:pStyle w:val="Heading2"/>
        <w:spacing w:after="160" w:before="280"/>
        <w:outlineLvl w:val="1"/>
      </w:pPr>
      <w:r>
        <w:rPr>
          <w:rFonts w:ascii="Times New Roman"/>
          <w:b/>
          <w:bCs/>
          <w:color w:val="0F2B1C"/>
          <w:sz w:val="28"/>
          <w:szCs w:val="28"/>
        </w:rPr>
        <w:t xml:space="preserve">6.8 Mobile Gesture and Haptic Patterns</w:t>
      </w:r>
    </w:p>
    <w:p>
      <w:pPr>
        <w:spacing w:after="120" w:line="312"/>
        <w:jc w:val="both"/>
      </w:pPr>
      <w:r>
        <w:rPr>
          <w:rFonts w:ascii="Times New Roman"/>
          <w:color w:val="1F2937"/>
          <w:sz w:val="24"/>
          <w:szCs w:val="24"/>
        </w:rPr>
        <w:t xml:space="preserve">The mobile app uses a consistent set of touch gestures leveraging users' existing mobile literacy while providing appropriate haptic feedback for key actions. Haptic feedback is calibrated to be informative without being distracting: a light tap (10ms) for button presses, a medium tap (20ms) for toggle activations, and a heavy tap (30ms) for error states. All haptic patterns can be disabled in accessibility settings.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Gesture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Context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Haptic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Visual Feedback</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Buttons, links, list items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Activate primary 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 0.97x on press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Long Press (500ms)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List items,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Enter multi-select mode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 tap</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Selection checkboxes appear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Swipe Right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List items (conversations, tasks)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Reveal action buttons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Slide panel with actions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Swipe Left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Notification cards, messages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Dismiss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Card slides off-screen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Pull Down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Scrollable lists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Refresh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Spinner replaces header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Pinch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Zoom in/out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Smooth scale animation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Double Tap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Maps, images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Zoom to 2x / reset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None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Animated zoom</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Drag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widgets, shift calendar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Reorder / reschedule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 continuous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Elevated shadow while dragging</w:t>
            </w:r>
          </w:p>
        </w:tc>
      </w:tr>
    </w:tbl>
    <w:p>
      <w:pPr>
        <w:spacing w:after="200" w:before="80"/>
        <w:jc w:val="center"/>
      </w:pPr>
      <w:r>
        <w:rPr>
          <w:rFonts w:ascii="Calibri"/>
          <w:i/>
          <w:iCs/>
          <w:color w:val="5A7D68"/>
          <w:sz w:val="21"/>
          <w:szCs w:val="21"/>
        </w:rPr>
        <w:t xml:space="preserve">Table 23: Mobile Gesture and Haptic Patterns</w:t>
      </w:r>
    </w:p>
    <w:p>
      <w:pPr>
        <w:pStyle w:val="Heading2"/>
        <w:spacing w:after="160" w:before="280"/>
        <w:outlineLvl w:val="1"/>
      </w:pPr>
      <w:r>
        <w:rPr>
          <w:rFonts w:ascii="Times New Roman"/>
          <w:b/>
          <w:bCs/>
          <w:color w:val="0F2B1C"/>
          <w:sz w:val="28"/>
          <w:szCs w:val="28"/>
        </w:rPr>
        <w:t xml:space="preserve">6.9 Responsive and Adaptive Design</w:t>
      </w:r>
    </w:p>
    <w:p>
      <w:pPr>
        <w:spacing w:after="120" w:line="312"/>
        <w:jc w:val="both"/>
      </w:pPr>
      <w:r>
        <w:rPr>
          <w:rFonts w:ascii="Times New Roman"/>
          <w:color w:val="1F2937"/>
          <w:sz w:val="24"/>
          <w:szCs w:val="24"/>
        </w:rPr>
        <w:t xml:space="preserve">Web: Responsive grid adapting across desktop (1280px+ multi-column), laptop (1024px), and tablet (768px two-column). Below 768px, users are redirected to download the mobile app with a personalised link. The responsive layout uses CSS Grid with named areas that reorganise based on viewport width. The sidebar navigation collapses progressively: at 1280px it shows full labels, at 1024px it collapses to icons with tooltips, and at 768px it converts to a hamburger menu with a full-height slide-out drawer.</w:t>
      </w:r>
    </w:p>
    <w:p>
      <w:pPr>
        <w:spacing w:after="120" w:line="312"/>
        <w:jc w:val="both"/>
      </w:pPr>
      <w:r>
        <w:rPr>
          <w:rFonts w:ascii="Times New Roman"/>
          <w:color w:val="1F2937"/>
          <w:sz w:val="24"/>
          <w:szCs w:val="24"/>
        </w:rPr>
        <w:t xml:space="preserve">Mobile: Targets Android 8.0+ covering 95% of the Nigerian smartphone market. Designs accommodate 5.5-6.8 inch screens using flexible dp and sp units. Minimum 48x48dp touch targets with 8dp internal padding. The app supports light and dark mode, following the system-level setting by default with manual override in Profile settings. A high-contrast outdoor mode increases all text contrast ratios to minimum 7:1 and adds a semi-transparent dark overlay behind text for readability in direct sunlight.</w:t>
      </w:r>
    </w:p>
    <w:p>
      <w:pPr>
        <w:pStyle w:val="Heading2"/>
        <w:spacing w:after="160" w:before="280"/>
        <w:outlineLvl w:val="1"/>
      </w:pPr>
      <w:r>
        <w:rPr>
          <w:rFonts w:ascii="Times New Roman"/>
          <w:b/>
          <w:bCs/>
          <w:color w:val="0F2B1C"/>
          <w:sz w:val="28"/>
          <w:szCs w:val="28"/>
        </w:rPr>
        <w:t xml:space="preserve">6.10 Accessibility, Error Handling, and Inclusive Design</w:t>
      </w:r>
    </w:p>
    <w:p>
      <w:pPr>
        <w:spacing w:after="120" w:line="312"/>
        <w:jc w:val="both"/>
      </w:pPr>
      <w:r>
        <w:rPr>
          <w:rFonts w:ascii="Times New Roman"/>
          <w:color w:val="1F2937"/>
          <w:sz w:val="24"/>
          <w:szCs w:val="24"/>
        </w:rPr>
        <w:t xml:space="preserve">WCAG 2.1 Level AA compliance is mandatory. Text scales to 200% without layout breakage through relative units throughout. Visible focus indicators (2px APC green outline with 2px offset) clearly show keyboard navigation position. All form inputs have associated labels, and dynamic content updates are announced to screen readers through ARIA live regions. Colour is never used as the sole means of conveying information; every colour-coded status indicator is accompanied by a text label or icon.</w:t>
      </w:r>
    </w:p>
    <w:p>
      <w:pPr>
        <w:spacing w:after="120" w:line="312"/>
        <w:jc w:val="both"/>
      </w:pPr>
      <w:r>
        <w:rPr>
          <w:rFonts w:ascii="Times New Roman"/>
          <w:color w:val="1F2937"/>
          <w:sz w:val="24"/>
          <w:szCs w:val="24"/>
        </w:rPr>
        <w:t xml:space="preserve">Empty states are designed as productive moments. When a data table has no results, a friendly illustration with contextual messaging guides the user to productive action. Error states follow a three-part structure: clear explanation, visual indicator of where the problem is, and a specific retry mechanism. Interface text is written at an 8th-grade reading level. Three interface languages are supported: English (default), Nigerian Pidgin, and Hausa, selectable in Profile settings.</w:t>
      </w:r>
    </w:p>
    <w:p>
      <w:pPr>
        <w:pStyle w:val="Heading2"/>
        <w:spacing w:after="160" w:before="280"/>
        <w:outlineLvl w:val="1"/>
      </w:pPr>
      <w:r>
        <w:rPr>
          <w:rFonts w:ascii="Times New Roman"/>
          <w:b/>
          <w:bCs/>
          <w:color w:val="0F2B1C"/>
          <w:sz w:val="28"/>
          <w:szCs w:val="28"/>
        </w:rPr>
        <w:t xml:space="preserve">6.11 Notification Design System</w:t>
      </w:r>
    </w:p>
    <w:p>
      <w:pPr>
        <w:spacing w:after="120" w:line="312"/>
        <w:jc w:val="both"/>
      </w:pPr>
      <w:r>
        <w:rPr>
          <w:rFonts w:ascii="Times New Roman"/>
          <w:color w:val="1F2937"/>
          <w:sz w:val="24"/>
          <w:szCs w:val="24"/>
        </w:rPr>
        <w:t xml:space="preserve">Three-tier priority model. Tier 1 (Critical): Full-screen overlay on mobile with red-tinted gradient, modal popup on web with red header bar, requires explicit acknowledgment. Accompanied by a distinctive two-tone alert sound. Tier 2 (Important): Persistent banner notification on web (top of viewport, green accent) remaining until dismissed. On mobile, expandable card at top of current screen. Tier 3 (Informational): Notification centre accessible from bell icon with unread count badge, non-interrupting. Each notification includes summary, timestamp (relative format), source module icon, and one or two action buttons (View / Dismiss).</w:t>
      </w:r>
    </w:p>
    <w:p>
      <w:pPr>
        <w:spacing w:after="120" w:line="312"/>
        <w:jc w:val="both"/>
      </w:pPr>
      <w:r>
        <w:rPr>
          <w:rFonts w:ascii="Times New Roman"/>
          <w:color w:val="1F2937"/>
          <w:sz w:val="24"/>
          <w:szCs w:val="24"/>
        </w:rPr>
        <w:t xml:space="preserve">Mobile push notifications are customised for lock screen (title and summary only) versus expanded shade (full content with actions). On web, a notification bell icon in the header displays real-time unread count badge updated via WebSocket. Users configure preferences per module and per channel in Profile settings, with 'Quiet Hours' configuration that suppresses non-critical notifications during configurable time windows.</w:t>
      </w:r>
    </w:p>
    <w:p>
      <w:pPr>
        <w:pStyle w:val="Heading2"/>
        <w:spacing w:after="160" w:before="280"/>
        <w:outlineLvl w:val="1"/>
      </w:pPr>
      <w:r>
        <w:rPr>
          <w:rFonts w:ascii="Times New Roman"/>
          <w:b/>
          <w:bCs/>
          <w:color w:val="0F2B1C"/>
          <w:sz w:val="28"/>
          <w:szCs w:val="28"/>
        </w:rPr>
        <w:t xml:space="preserve">6.12 Onboarding Flows by Role</w:t>
      </w:r>
    </w:p>
    <w:p>
      <w:pPr>
        <w:spacing w:after="120" w:line="312"/>
        <w:jc w:val="both"/>
      </w:pPr>
      <w:r>
        <w:rPr>
          <w:rFonts w:ascii="Times New Roman"/>
          <w:color w:val="1F2937"/>
          <w:sz w:val="24"/>
          <w:szCs w:val="24"/>
        </w:rPr>
        <w:t xml:space="preserve">Each user role receives a tailored onboarding experience introducing only features relevant to their responsibilities, avoiding cognitive overload. Onboarding is divided into three phases: Initial Setup (first login, account configuration, data download), Guided Tour (interactive walkthrough of key screens), and First Actions (guided completion of primary tasks with progress tracking).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Initial Setup</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Guided Tour Screens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First Actions Checklist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Account + password, 2FA, notification preferences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Dashboard (KPIs, map, alerts)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Review dashboard, acknowledge alert, share view</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Account + 2FA, data access agreement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VID (search, segments, import), Dashboard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Run first search, create segment, export data</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(home, tasks, voters,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Log visit, submit report, send message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Phone + OTP, app download, data sync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(home, quick actions, check-in)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 profile, log visit, check-in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Phone + OTP, app download, PU assignment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(check-in, report, emergency)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Simulate check-in, submit test report</w:t>
            </w:r>
          </w:p>
        </w:tc>
      </w:tr>
    </w:tbl>
    <w:p>
      <w:pPr>
        <w:spacing w:after="200" w:before="80"/>
        <w:jc w:val="center"/>
      </w:pPr>
      <w:r>
        <w:rPr>
          <w:rFonts w:ascii="Calibri"/>
          <w:i/>
          <w:iCs/>
          <w:color w:val="5A7D68"/>
          <w:sz w:val="21"/>
          <w:szCs w:val="21"/>
        </w:rPr>
        <w:t xml:space="preserve">Table 24: Role-Based Onboarding Flows</w:t>
      </w:r>
    </w:p>
    <w:p>
      <w:pPr>
        <w:pStyle w:val="Heading2"/>
        <w:spacing w:after="160" w:before="280"/>
        <w:outlineLvl w:val="1"/>
      </w:pPr>
      <w:r>
        <w:rPr>
          <w:rFonts w:ascii="Times New Roman"/>
          <w:b/>
          <w:bCs/>
          <w:color w:val="0F2B1C"/>
          <w:sz w:val="28"/>
          <w:szCs w:val="28"/>
        </w:rPr>
        <w:t xml:space="preserve">6.13 Performance Budgets and Optimisation</w:t>
      </w:r>
    </w:p>
    <w:p>
      <w:pPr>
        <w:spacing w:after="120" w:line="312"/>
        <w:jc w:val="both"/>
      </w:pPr>
      <w:r>
        <w:rPr>
          <w:rFonts w:ascii="Times New Roman"/>
          <w:color w:val="1F2937"/>
          <w:sz w:val="24"/>
          <w:szCs w:val="24"/>
        </w:rPr>
        <w:t xml:space="preserve">The platform adheres to strict performance budgets ensuring usability across variable network conditions and device capabilities prevalent in Nigeria. These budgets are treated as hard constraints in the development process, with automated CI checks that block deployment if performance regressions are detected.</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Metric</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Web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Mobile Target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 Method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First Contentful Paint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1.5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Time to Interactive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3.5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Lighthouse CI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Search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500ms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APM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Dashboard Load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2.0 seconds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Synthetic monitoring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Form Submit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second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200ms (local)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Client-side timing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App APK Size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40MB</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Build pipeline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Initial Data Sync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10 minutes (50MB)</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App instrumentation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Battery Drain (active)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8% per hour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Device profiling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Offline Operations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N/A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core features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test matrix</w:t>
            </w:r>
          </w:p>
        </w:tc>
      </w:tr>
    </w:tbl>
    <w:p>
      <w:pPr>
        <w:spacing w:after="200" w:before="80"/>
        <w:jc w:val="center"/>
      </w:pPr>
      <w:r>
        <w:rPr>
          <w:rFonts w:ascii="Calibri"/>
          <w:i/>
          <w:iCs/>
          <w:color w:val="5A7D68"/>
          <w:sz w:val="21"/>
          <w:szCs w:val="21"/>
        </w:rPr>
        <w:t xml:space="preserve">Table 25: Performance Budgets</w:t>
      </w:r>
    </w:p>
    <w:p>
      <w:pPr>
        <w:pStyle w:val="Heading1"/>
        <w:spacing w:after="200" w:before="360"/>
        <w:outlineLvl w:val="0"/>
      </w:pPr>
      <w:r>
        <w:rPr>
          <w:rFonts w:ascii="Times New Roman"/>
          <w:b/>
          <w:bCs/>
          <w:color w:val="0F2B1C"/>
          <w:sz w:val="32"/>
          <w:szCs w:val="32"/>
        </w:rPr>
        <w:t xml:space="preserve">7. Physical Office Infrastructure</w:t>
      </w:r>
    </w:p>
    <w:p>
      <w:pPr>
        <w:pStyle w:val="Heading2"/>
        <w:spacing w:after="160" w:before="280"/>
        <w:outlineLvl w:val="1"/>
      </w:pPr>
      <w:r>
        <w:rPr>
          <w:rFonts w:ascii="Times New Roman"/>
          <w:b/>
          <w:bCs/>
          <w:color w:val="0F2B1C"/>
          <w:sz w:val="28"/>
          <w:szCs w:val="28"/>
        </w:rPr>
        <w:t xml:space="preserve">7.1 Office Layout and Space Requirements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Area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Space (sqm)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Purpose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Equipment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Situation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Real-time monitoring, strategic planning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4x 55-inch displays, video conferencing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Open-Plan Workstations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80</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analysts, comms officers, field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 workstations, dual monitors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Server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Computing, backup, network infrastructure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Rack servers, UPS, cooling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Room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Coordinator onboarding, workshops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Projector, 30 seats, whiteboard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Director's Office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 and Deputy Directors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offices, meeting table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Visitor management, security screening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Reception desk, display screens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Break Room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rest, informal meetings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Kitchenette, seating</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Secure Storage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Documents, equipment, material staging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Lockable shelving</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Common Areas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Circulation, branding, emergency exits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Party branding, signage</w:t>
            </w:r>
          </w:p>
        </w:tc>
      </w:tr>
    </w:tbl>
    <w:p>
      <w:pPr>
        <w:spacing w:after="200" w:before="80"/>
        <w:jc w:val="center"/>
      </w:pPr>
      <w:r>
        <w:rPr>
          <w:rFonts w:ascii="Calibri"/>
          <w:i/>
          <w:iCs/>
          <w:color w:val="5A7D68"/>
          <w:sz w:val="21"/>
          <w:szCs w:val="21"/>
        </w:rPr>
        <w:t xml:space="preserve">Table 26: Office Space Allocation</w:t>
      </w:r>
    </w:p>
    <w:p>
      <w:pPr>
        <w:spacing w:after="120" w:line="312"/>
        <w:jc w:val="both"/>
      </w:pPr>
      <w:r>
        <w:rPr>
          <w:rFonts w:ascii="Times New Roman"/>
          <w:color w:val="1F2937"/>
          <w:sz w:val="24"/>
          <w:szCs w:val="24"/>
        </w:rPr>
        <w:t xml:space="preserve">Power: Three-tier system with 20KVA diesel generator for primary backup, 10KVA solar inverter with battery bank for sustained daytime operation, and 3KVA online UPS for server room and critical workstations. Connectivity: Primary fibre (100Mbps), 4G/5G failover router, VSAT satellite reserved for election day. All connections through enterprise firewall with VPN.</w:t>
      </w:r>
    </w:p>
    <w:p>
      <w:pPr>
        <w:pStyle w:val="Heading2"/>
        <w:spacing w:after="160" w:before="280"/>
        <w:outlineLvl w:val="1"/>
      </w:pPr>
      <w:r>
        <w:rPr>
          <w:rFonts w:ascii="Times New Roman"/>
          <w:b/>
          <w:bCs/>
          <w:color w:val="0F2B1C"/>
          <w:sz w:val="28"/>
          <w:szCs w:val="28"/>
        </w:rPr>
        <w:t xml:space="preserve">7.2 Situation Room Technology</w:t>
      </w:r>
    </w:p>
    <w:p>
      <w:pPr>
        <w:spacing w:after="120" w:line="312"/>
        <w:jc w:val="both"/>
      </w:pPr>
      <w:r>
        <w:rPr>
          <w:rFonts w:ascii="Times New Roman"/>
          <w:color w:val="1F2937"/>
          <w:sz w:val="24"/>
          <w:szCs w:val="24"/>
        </w:rPr>
        <w:t xml:space="preserve">The situation room serves as the nerve centre during critical campaign periods and on election day. It features four 55-inch 4K displays in a 2x2 grid: primary display shows real-time geospatial incident map, secondary displays cycle through KPI dashboards and analytics, tertiary display maintains a persistent alert feed, and fourth display is reserved for video conferencing. An integrated audio system provides spoken alerts for critical incidents and hands-free communication with field teams. Dedicated workstations for the Campaign Director, DD Field Operations, legal liaison, and communications lead each have pre-configured dashboard views.</w:t>
      </w:r>
    </w:p>
    <w:p>
      <w:pPr>
        <w:pStyle w:val="Heading1"/>
        <w:spacing w:after="200" w:before="360"/>
        <w:outlineLvl w:val="0"/>
      </w:pPr>
      <w:r>
        <w:rPr>
          <w:rFonts w:ascii="Times New Roman"/>
          <w:b/>
          <w:bCs/>
          <w:color w:val="0F2B1C"/>
          <w:sz w:val="32"/>
          <w:szCs w:val="32"/>
        </w:rPr>
        <w:t xml:space="preserve">8. Organisational Structure and Staffing</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Role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Reports To</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Responsibilities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State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Strategy, resources, stakeholder management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DDs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Voter DB, analytics, intelligence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 Analysts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Coordinators, volunteers, grassroots ops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 Field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(Comms)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Media, messaging, social media, internal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Comms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(Logistics)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Procurement, distribution, office mgmt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Logistics Staff</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expenses, reporting,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 Finance Officers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 (Field)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LGA coordination, report compilation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Zonal Coord.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PU operations, volunteer supervision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Volunteers</w:t>
            </w:r>
          </w:p>
        </w:tc>
      </w:tr>
    </w:tbl>
    <w:p>
      <w:pPr>
        <w:spacing w:after="200" w:before="80"/>
        <w:jc w:val="center"/>
      </w:pPr>
      <w:r>
        <w:rPr>
          <w:rFonts w:ascii="Calibri"/>
          <w:i/>
          <w:iCs/>
          <w:color w:val="5A7D68"/>
          <w:sz w:val="21"/>
          <w:szCs w:val="21"/>
        </w:rPr>
        <w:t xml:space="preserve">Table 27: Organisational Structure</w:t>
      </w:r>
    </w:p>
    <w:p>
      <w:pPr>
        <w:pStyle w:val="Heading2"/>
        <w:spacing w:after="160" w:before="280"/>
        <w:outlineLvl w:val="1"/>
      </w:pPr>
      <w:r>
        <w:rPr>
          <w:rFonts w:ascii="Times New Roman"/>
          <w:b/>
          <w:bCs/>
          <w:color w:val="0F2B1C"/>
          <w:sz w:val="28"/>
          <w:szCs w:val="28"/>
        </w:rPr>
        <w:t xml:space="preserve">8.2 RACI Matrix</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Process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Director</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Data</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Field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Comms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DD Finance</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 strategy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operations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messaging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Budget approval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Election day ops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Media relations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Donor reporting</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w:t>
            </w:r>
          </w:p>
        </w:tc>
      </w:tr>
    </w:tbl>
    <w:p>
      <w:pPr>
        <w:spacing w:after="200" w:before="80"/>
        <w:jc w:val="center"/>
      </w:pPr>
      <w:r>
        <w:rPr>
          <w:rFonts w:ascii="Calibri"/>
          <w:i/>
          <w:iCs/>
          <w:color w:val="5A7D68"/>
          <w:sz w:val="21"/>
          <w:szCs w:val="21"/>
        </w:rPr>
        <w:t xml:space="preserve">Table 28: RACI Matrix</w:t>
      </w:r>
    </w:p>
    <w:p>
      <w:pPr>
        <w:pStyle w:val="Heading1"/>
        <w:spacing w:after="200" w:before="360"/>
        <w:outlineLvl w:val="0"/>
      </w:pPr>
      <w:r>
        <w:rPr>
          <w:rFonts w:ascii="Times New Roman"/>
          <w:b/>
          <w:bCs/>
          <w:color w:val="0F2B1C"/>
          <w:sz w:val="32"/>
          <w:szCs w:val="32"/>
        </w:rPr>
        <w:t xml:space="preserve">9. Implementation Roadmap</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Phase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Timeline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Modules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Key Milestones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Foundation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1-3</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VID, Dashboard,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operational, 50% data loaded</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Activation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4-7</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App, Comms, VMS, Finance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Staff trained, app deployed</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Scale-Up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Wk 8-10</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Monitoring, full Analytics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Ward coverage, 5,000 volunteers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Excellence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Wk 11-12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All modules stress-tested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Simulations complete, fully ready</w:t>
            </w:r>
          </w:p>
        </w:tc>
      </w:tr>
    </w:tbl>
    <w:p>
      <w:pPr>
        <w:spacing w:after="200" w:before="80"/>
        <w:jc w:val="center"/>
      </w:pPr>
      <w:r>
        <w:rPr>
          <w:rFonts w:ascii="Calibri"/>
          <w:i/>
          <w:iCs/>
          <w:color w:val="5A7D68"/>
          <w:sz w:val="21"/>
          <w:szCs w:val="21"/>
        </w:rPr>
        <w:t xml:space="preserve">Table 29: Implementation Roadmap</w:t>
      </w:r>
    </w:p>
    <w:p>
      <w:pPr>
        <w:spacing w:after="120" w:line="312"/>
        <w:jc w:val="both"/>
      </w:pPr>
      <w:r>
        <w:rPr>
          <w:rFonts w:ascii="Times New Roman"/>
          <w:color w:val="1F2937"/>
          <w:sz w:val="24"/>
          <w:szCs w:val="24"/>
        </w:rPr>
        <w:t xml:space="preserve">Phase 1 (Foundation, Weeks 1-3): Office setup with all infrastructure operational, core platform modules (VID, Dashboard, Security) deployed, voter data consolidation initiated with a target of 50% of the state register digitised. Phase 2 (Activation, Weeks 4-7): Full staff recruitment and intensive hands-on training, mobile application deployment to all ward coordinators, Communication Hub and VMS configuration with template libraries and volunteer recruitment campaigns launched. Phase 3 (Scale-Up, Weeks 8-10): Ward coordinator recruitment and training completion, volunteer mobilisation drive targeting 5,000 active volunteers, election monitoring system configuration and observer training, targeted messaging campaigns based on VID segmentation. Phase 4 (Operational Excellence, Weeks 11-12): Full-scale simulation exercises mimicking election day conditions, stress testing all systems under peak load, contingency plan finalisation.</w:t>
      </w:r>
    </w:p>
    <w:p>
      <w:pPr>
        <w:pStyle w:val="Heading1"/>
        <w:spacing w:after="200" w:before="360"/>
        <w:outlineLvl w:val="0"/>
      </w:pPr>
      <w:r>
        <w:rPr>
          <w:rFonts w:ascii="Times New Roman"/>
          <w:b/>
          <w:bCs/>
          <w:color w:val="0F2B1C"/>
          <w:sz w:val="32"/>
          <w:szCs w:val="32"/>
        </w:rPr>
        <w:t xml:space="preserve">10. Resource Requirements and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Headcount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Duration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Director</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Deputy Directors (5)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Analysts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Communication Officers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Field Operations Staff</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5</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Logistics / Admin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4</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Officers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Support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6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Zonal Coordinators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4 months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Ward Coordinators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 months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Election Observers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[Fill]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 week</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30: Personnel Costs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Item</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Platform Development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8 modules: VID, Dashboard, App, Monitoring, Comms, VMS, Finance, 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Cloud Hosting (6mo)</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Servers, databases, Elasticsearch, Redis, CDN, SSL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Equipment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24 workstations, 4 displays, printers, networking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Infrastructure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20KVA generator, 10KVA solar, 3KVA UPS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Mobile Devices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200 smartphones, 20 tablets, accessories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Connectivity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Fibre, 4G/5G failover, VSAT satellite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Office Setup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Furniture, fixtures, security, branding, AC</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Software Licenses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Productivity, CRM, analytics tools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 Infra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Firewall, VPN, KMS, pen testing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31: Technology Budget</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Category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Description</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Cost (N)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Transportation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Fuel, vehicle hire, maintenance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Training and Events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Venue, catering, materials, meetings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Campaign Materials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Posters, flyers, banners, merchandise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Utilities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Power, internet, water, supplies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Security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Personnel, CCTV, access control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Contingency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Unforeseen expenses and opportunities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[Please fill in]</w:t>
            </w:r>
          </w:p>
        </w:tc>
      </w:tr>
    </w:tbl>
    <w:p>
      <w:pPr>
        <w:spacing w:after="200" w:before="80"/>
        <w:jc w:val="center"/>
      </w:pPr>
      <w:r>
        <w:rPr>
          <w:rFonts w:ascii="Calibri"/>
          <w:i/>
          <w:iCs/>
          <w:color w:val="5A7D68"/>
          <w:sz w:val="21"/>
          <w:szCs w:val="21"/>
        </w:rPr>
        <w:t xml:space="preserve">Table 32: Operational Budget</w:t>
      </w:r>
    </w:p>
    <w:p>
      <w:pPr>
        <w:pStyle w:val="Heading1"/>
        <w:spacing w:after="200" w:before="360"/>
        <w:outlineLvl w:val="0"/>
      </w:pPr>
      <w:r>
        <w:rPr>
          <w:rFonts w:ascii="Times New Roman"/>
          <w:b/>
          <w:bCs/>
          <w:color w:val="0F2B1C"/>
          <w:sz w:val="32"/>
          <w:szCs w:val="32"/>
        </w:rPr>
        <w:t xml:space="preserve">11. Risk Analysis and Mitigation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Risk</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Likelihood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Impact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Mitigation</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Breach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Critical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AES-256 encryption, RBAC, audits, NDAs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Failure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Redundant cloud, offline app, backups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Staff Attrition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Competitive pay, career paths, documentation</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Regulatory Issues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Legal review, INEC compliance, records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Funding Gaps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Phased implementation, donor engagement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Opposition Disruption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Physical security, legal support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Connectivity Outages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Generator + solar + UPS, offline-first, 4G/VSAT</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Low Adoption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Intensive training, intuitive UI, champions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Data Quality Issues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High</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Auto-validation, dedup, quality dashboards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 Shortfall</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Medium</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Early drive, gamification, partnerships</w:t>
            </w:r>
          </w:p>
        </w:tc>
      </w:tr>
    </w:tbl>
    <w:p>
      <w:pPr>
        <w:spacing w:after="200" w:before="80"/>
        <w:jc w:val="center"/>
      </w:pPr>
      <w:r>
        <w:rPr>
          <w:rFonts w:ascii="Calibri"/>
          <w:i/>
          <w:iCs/>
          <w:color w:val="5A7D68"/>
          <w:sz w:val="21"/>
          <w:szCs w:val="21"/>
        </w:rPr>
        <w:t xml:space="preserve">Table 33: Risk Assessment Matrix</w:t>
      </w:r>
    </w:p>
    <w:p>
      <w:pPr>
        <w:pStyle w:val="Heading1"/>
        <w:spacing w:after="200" w:before="360"/>
        <w:outlineLvl w:val="0"/>
      </w:pPr>
      <w:r>
        <w:rPr>
          <w:rFonts w:ascii="Times New Roman"/>
          <w:b/>
          <w:bCs/>
          <w:color w:val="0F2B1C"/>
          <w:sz w:val="32"/>
          <w:szCs w:val="32"/>
        </w:rPr>
        <w:t xml:space="preserve">12. Expected Benefits and Evaluation</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Benefit</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Current State</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Projected</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Measurement</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Voter Data</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30-40% digitised</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90% in 8 weeks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DB vs INEC register</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Field Reports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24-48 hours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 minutes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Platform timestamps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Outreach Coverage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25%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70% of voters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Canvassing logs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Volunteers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Ad-hoc</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5,000+, 80% retention</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VMS metrics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Response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Hours to days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Under 30 minutes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Incident timestamps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Material Waste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30-40% wastage</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Under 15%</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Inventory audits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Financial Tracking</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Manual ledgers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100% digital</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Finance audit reports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Comms Reach</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Unmeasured</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Trackable delivery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Hub analytics</w:t>
            </w:r>
          </w:p>
        </w:tc>
      </w:tr>
    </w:tbl>
    <w:p>
      <w:pPr>
        <w:spacing w:after="200" w:before="80"/>
        <w:jc w:val="center"/>
      </w:pPr>
      <w:r>
        <w:rPr>
          <w:rFonts w:ascii="Calibri"/>
          <w:i/>
          <w:iCs/>
          <w:color w:val="5A7D68"/>
          <w:sz w:val="21"/>
          <w:szCs w:val="21"/>
        </w:rPr>
        <w:t xml:space="preserve">Table 34: Projected Improvements</w:t>
      </w:r>
    </w:p>
    <w:tbl>
      <w:tblPr>
        <w:tblW w:type="pct" w:w="100%"/>
        <w:tblBorders>
          <w:top w:val="single" w:color="007847" w:sz="2"/>
          <w:left w:val="none"/>
          <w:bottom w:val="single" w:color="007847" w:sz="2"/>
          <w:right w:val="none"/>
          <w:insideH w:val="single" w:color="C6E9D5" w:sz="1"/>
          <w:insideV w:val="none"/>
        </w:tblBorders>
        <w:tblLayout w:type="fixed"/>
      </w:tblPr>
      <w:tblGrid>
        <w:gridCol w:w="100"/>
        <w:gridCol w:w="100"/>
        <w:gridCol w:w="100"/>
        <w:gridCol w:w="100"/>
      </w:tblGrid>
      <w:tr>
        <w:trPr>
          <w:cantSplit/>
          <w:tblHeader/>
        </w:trPr>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Activity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Frequency</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Participants</w:t>
            </w:r>
          </w:p>
        </w:tc>
        <w:tc>
          <w:tcPr>
            <w:shd w:fill="007847" w:val="clear"/>
            <w:tcMar>
              <w:top w:type="dxa" w:w="60"/>
              <w:left w:type="dxa" w:w="120"/>
              <w:bottom w:type="dxa" w:w="60"/>
              <w:right w:type="dxa" w:w="120"/>
            </w:tcMar>
          </w:tcPr>
          <w:p>
            <w:pPr>
              <w:spacing w:line="312"/>
              <w:jc w:val="center"/>
            </w:pPr>
            <w:r>
              <w:rPr>
                <w:rFonts w:ascii="Calibri"/>
                <w:b/>
                <w:bCs/>
                <w:color w:val="FFFFFF"/>
                <w:sz w:val="21"/>
                <w:szCs w:val="21"/>
              </w:rPr>
              <w:t xml:space="preserve">Outputs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Operational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Weekly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DDs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Action items, risk updates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Strategic Review</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Bi-weekly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Director + DDs</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Strategy adjustments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Performance Report</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Director to Chairman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KPI dashboard, variance</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Data Quality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DD Data + 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Completeness, dedup reports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User Satisfaction</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Monthly</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All users</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Usability scores, requests</w:t>
            </w:r>
          </w:p>
        </w:tc>
      </w:tr>
      <w:tr>
        <w:trPr>
          <w:cantSplit/>
        </w:trPr>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Security Audit</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Quarterly</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IT + external auditor</w:t>
            </w:r>
          </w:p>
        </w:tc>
        <w:tc>
          <w:tcPr>
            <w:shd w:fill="FFFFFF" w:val="clear"/>
            <w:tcMar>
              <w:top w:type="dxa" w:w="60"/>
              <w:left w:type="dxa" w:w="120"/>
              <w:bottom w:type="dxa" w:w="60"/>
              <w:right w:type="dxa" w:w="120"/>
            </w:tcMar>
          </w:tcPr>
          <w:p>
            <w:pPr>
              <w:spacing w:line="312"/>
              <w:jc w:val="left"/>
            </w:pPr>
            <w:r>
              <w:rPr>
                <w:rFonts w:ascii="Calibri"/>
                <w:color w:val="1F2937"/>
                <w:sz w:val="21"/>
                <w:szCs w:val="21"/>
              </w:rPr>
              <w:t xml:space="preserve">Pen test results</w:t>
            </w:r>
          </w:p>
        </w:tc>
      </w:tr>
      <w:tr>
        <w:trPr>
          <w:cantSplit/>
        </w:trPr>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Post-Election Review</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Once</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Full team + leadership</w:t>
            </w:r>
          </w:p>
        </w:tc>
        <w:tc>
          <w:tcPr>
            <w:shd w:fill="F0FDF4" w:val="clear"/>
            <w:tcMar>
              <w:top w:type="dxa" w:w="60"/>
              <w:left w:type="dxa" w:w="120"/>
              <w:bottom w:type="dxa" w:w="60"/>
              <w:right w:type="dxa" w:w="120"/>
            </w:tcMar>
          </w:tcPr>
          <w:p>
            <w:pPr>
              <w:spacing w:line="312"/>
              <w:jc w:val="left"/>
            </w:pPr>
            <w:r>
              <w:rPr>
                <w:rFonts w:ascii="Calibri"/>
                <w:color w:val="1F2937"/>
                <w:sz w:val="21"/>
                <w:szCs w:val="21"/>
              </w:rPr>
              <w:t xml:space="preserve">Lessons learned, archive</w:t>
            </w:r>
          </w:p>
        </w:tc>
      </w:tr>
    </w:tbl>
    <w:p>
      <w:pPr>
        <w:spacing w:after="200" w:before="80"/>
        <w:jc w:val="center"/>
      </w:pPr>
      <w:r>
        <w:rPr>
          <w:rFonts w:ascii="Calibri"/>
          <w:i/>
          <w:iCs/>
          <w:color w:val="5A7D68"/>
          <w:sz w:val="21"/>
          <w:szCs w:val="21"/>
        </w:rPr>
        <w:t xml:space="preserve">Table 35: Evaluation Framework</w:t>
      </w:r>
    </w:p>
    <w:p>
      <w:pPr>
        <w:spacing w:after="120" w:line="312"/>
        <w:jc w:val="both"/>
      </w:pPr>
      <w:r>
        <w:rPr>
          <w:rFonts w:ascii="Times New Roman"/>
          <w:color w:val="1F2937"/>
          <w:sz w:val="24"/>
          <w:szCs w:val="24"/>
        </w:rPr>
        <w:t xml:space="preserve">The evaluation framework incorporates a lessons-learned process capturing operational insights throughout the campaign for future planning. This institutional knowledge management approach ensures the party builds cumulative expertise, avoiding the common pattern where valuable field experience is lost when temporary campaign structures are dismantled after each election cycle. All platform data, operational logs, and evaluation reports are archived in a structured knowledge base that serves as the foundation for the next campaign cycle, providing a measurable competitive advantage that compounds over time.</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i/>
        <w:iCs/>
        <w:color w:val="808080"/>
        <w:sz w:val="18"/>
        <w:szCs w:val="18"/>
      </w:rPr>
      <w:t xml:space="preserve">APC State Campaign Office — Comprehensive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1F2937"/>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312"/>
    </w:pPr>
    <w:rPr>
      <w:rFonts w:ascii="Times New Roman" w:eastAsia="SimHei"/>
      <w:b/>
      <w:bCs/>
      <w:color w:val="0F2B1C"/>
      <w:sz w:val="32"/>
      <w:szCs w:val="32"/>
    </w:rPr>
  </w:style>
  <w:style w:type="paragraph" w:styleId="Heading2">
    <w:name w:val="Heading 2"/>
    <w:basedOn w:val="Normal"/>
    <w:next w:val="Normal"/>
    <w:qFormat/>
    <w:pPr>
      <w:spacing w:line="312"/>
    </w:pPr>
    <w:rPr>
      <w:rFonts w:ascii="Times New Roman" w:eastAsia="SimHei"/>
      <w:b/>
      <w:bCs/>
      <w:color w:val="0F2B1C"/>
      <w:sz w:val="28"/>
      <w:szCs w:val="28"/>
    </w:rPr>
  </w:style>
  <w:style w:type="paragraph" w:styleId="Heading3">
    <w:name w:val="Heading 3"/>
    <w:basedOn w:val="Normal"/>
    <w:next w:val="Normal"/>
    <w:qFormat/>
    <w:pPr>
      <w:spacing w:line="312"/>
    </w:pPr>
    <w:rPr>
      <w:rFonts w:ascii="Times New Roman" w:eastAsia="SimHei"/>
      <w:b/>
      <w:bCs/>
      <w:color w:val="0F2B1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2026-08-13T20:59:56.658Z</dcterms:created>
  <dcterms:modified xsi:type="dcterms:W3CDTF">2026-08-13T20:59:56.659Z</dcterms:modified>
</cp:coreProperties>
</file>

<file path=docProps/custom.xml><?xml version="1.0" encoding="utf-8"?>
<Properties xmlns="http://schemas.openxmlformats.org/officeDocument/2006/custom-properties" xmlns:vt="http://schemas.openxmlformats.org/officeDocument/2006/docPropsVTypes"/>
</file>