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376E"/>
          <w:sz w:val="56"/>
        </w:rPr>
        <w:t>TECHBLEAT GLOBAL BANK</w:t>
      </w:r>
    </w:p>
    <w:p>
      <w:pPr>
        <w:jc w:val="center"/>
      </w:pPr>
      <w:r>
        <w:rPr>
          <w:b/>
          <w:color w:val="1E50A2"/>
          <w:sz w:val="36"/>
        </w:rPr>
        <w:t>DevOps Capstone Project</w:t>
      </w:r>
    </w:p>
    <w:p>
      <w:pPr>
        <w:jc w:val="center"/>
      </w:pPr>
      <w:r>
        <w:rPr>
          <w:i/>
          <w:color w:val="007AC9"/>
          <w:sz w:val="26"/>
        </w:rPr>
        <w:t>Enterprise Kubernetes Deployment with Observability, Monitoring &amp; Alerting</w:t>
      </w:r>
    </w:p>
    <w:p/>
    <w:p>
      <w:pPr>
        <w:jc w:val="center"/>
      </w:pPr>
      <w:r>
        <w:rPr>
          <w:color w:val="555555"/>
          <w:sz w:val="21"/>
        </w:rPr>
        <w:t>Prepared for DevOps Cohort  |  2025</w:t>
      </w:r>
    </w:p>
    <w:p>
      <w:r>
        <w:br w:type="page"/>
      </w:r>
    </w:p>
    <w:p>
      <w:pPr>
        <w:spacing w:before="240" w:after="80"/>
        <w:jc w:val="left"/>
      </w:pPr>
      <w:r>
        <w:rPr>
          <w:b/>
          <w:color w:val="1A376E"/>
          <w:sz w:val="44"/>
        </w:rPr>
        <w:t>1. Introduction</w:t>
      </w:r>
    </w:p>
    <w:p>
      <w:pPr>
        <w:pBdr>
          <w:bottom w:val="single" w:sz="6" w:space="1" w:color="1A376E"/>
        </w:pBdr>
        <w:spacing w:before="40" w:after="120"/>
      </w:pPr>
    </w:p>
    <w:p>
      <w:pPr>
        <w:spacing w:after="120"/>
        <w:ind w:left="0"/>
      </w:pPr>
      <w:r>
        <w:rPr>
          <w:b w:val="0"/>
          <w:i w:val="0"/>
          <w:sz w:val="21"/>
        </w:rPr>
        <w:t>Welcome to the Techbleat Global Bank Capstone Project — the culmination of your DevOps training programme. Over the past weeks you have built skills across containers, infrastructure-as-code, CI/CD pipelines, cloud-native architecture, and site-reliability engineering. This project brings all of those disciplines together in a single, realistic, production-grade challenge.</w:t>
      </w:r>
    </w:p>
    <w:p>
      <w:pPr>
        <w:spacing w:after="120"/>
        <w:ind w:left="0"/>
      </w:pPr>
      <w:r>
        <w:rPr>
          <w:b w:val="0"/>
          <w:i w:val="0"/>
          <w:sz w:val="21"/>
        </w:rPr>
        <w:t>You have been handed a fully functional, multi-service banking application. Your mission is not to build the application — it already exists. Your mission is to operate it at enterprise scale on Kubernetes, instrument it for observability, and ensure that problems are surfaced and actioned before customers notice them.</w:t>
      </w:r>
    </w:p>
    <w:p>
      <w:pPr>
        <w:spacing w:after="160"/>
        <w:ind w:left="0"/>
      </w:pPr>
      <w:r>
        <w:rPr>
          <w:b w:val="0"/>
          <w:i w:val="0"/>
          <w:sz w:val="21"/>
        </w:rPr>
        <w:t>This document explains the application, its components, and the precise objectives you must meet to complete the Capstone successfully.</w:t>
      </w:r>
    </w:p>
    <w:p>
      <w:pPr>
        <w:spacing w:before="240" w:after="80"/>
        <w:jc w:val="left"/>
      </w:pPr>
      <w:r>
        <w:rPr>
          <w:b/>
          <w:color w:val="1A376E"/>
          <w:sz w:val="44"/>
        </w:rPr>
        <w:t>2. The Application — Techbleat Global Bank</w:t>
      </w:r>
    </w:p>
    <w:p>
      <w:pPr>
        <w:pBdr>
          <w:bottom w:val="single" w:sz="6" w:space="1" w:color="1A376E"/>
        </w:pBdr>
        <w:spacing w:before="40" w:after="120"/>
      </w:pPr>
    </w:p>
    <w:p>
      <w:pPr>
        <w:spacing w:after="160"/>
        <w:ind w:left="0"/>
      </w:pPr>
      <w:r>
        <w:rPr>
          <w:b w:val="0"/>
          <w:i w:val="0"/>
          <w:sz w:val="21"/>
        </w:rPr>
        <w:t>Techbleat Global Bank is a proof-of-concept digital banking platform. It exposes a modern, browser-based interface through which customers can register, log in, check balances, deposit and withdraw funds, and transfer money between accounts. Every customer action is recorded as a structured activity log and processed in real time.</w:t>
      </w:r>
    </w:p>
    <w:p>
      <w:pPr>
        <w:spacing w:before="160" w:after="80"/>
        <w:jc w:val="left"/>
      </w:pPr>
      <w:r>
        <w:rPr>
          <w:b/>
          <w:color w:val="1E50A2"/>
          <w:sz w:val="32"/>
        </w:rPr>
        <w:t>2.1  System Architecture</w:t>
      </w:r>
    </w:p>
    <w:p>
      <w:pPr>
        <w:spacing w:after="120"/>
        <w:ind w:left="0"/>
      </w:pPr>
      <w:r>
        <w:rPr>
          <w:b w:val="0"/>
          <w:i w:val="0"/>
          <w:sz w:val="21"/>
        </w:rPr>
        <w:t>The platform is composed of four independently deployable components — one frontend and three backend microservices — supported by three infrastructure dependencies.</w:t>
      </w:r>
    </w:p>
    <w:p>
      <w:pPr>
        <w:spacing w:after="80"/>
        <w:ind w:left="0"/>
      </w:pPr>
      <w:r>
        <w:rPr>
          <w:b/>
          <w:i w:val="0"/>
          <w:sz w:val="21"/>
        </w:rPr>
        <w:t>High-level architecture:</w:t>
      </w:r>
    </w:p>
    <w:p>
      <w:pPr>
        <w:spacing w:after="0"/>
        <w:ind w:left="567"/>
      </w:pPr>
      <w:r>
        <w:rPr>
          <w:rFonts w:ascii="Courier New" w:hAnsi="Courier New"/>
          <w:sz w:val="18"/>
        </w:rPr>
        <w:t xml:space="preserve">  Browser / React UI  (port 3000)</w:t>
      </w:r>
    </w:p>
    <w:p>
      <w:pPr>
        <w:spacing w:after="0"/>
        <w:ind w:left="567"/>
      </w:pPr>
      <w:r>
        <w:rPr>
          <w:rFonts w:ascii="Courier New" w:hAnsi="Courier New"/>
          <w:sz w:val="18"/>
        </w:rPr>
        <w:t xml:space="preserve">        │</w:t>
      </w:r>
    </w:p>
    <w:p>
      <w:pPr>
        <w:spacing w:after="0"/>
        <w:ind w:left="567"/>
      </w:pPr>
      <w:r>
        <w:rPr>
          <w:rFonts w:ascii="Courier New" w:hAnsi="Courier New"/>
          <w:sz w:val="18"/>
        </w:rPr>
        <w:t xml:space="preserve">  ┌─────┼──────────────────────────────┐</w:t>
      </w:r>
    </w:p>
    <w:p>
      <w:pPr>
        <w:spacing w:after="0"/>
        <w:ind w:left="567"/>
      </w:pPr>
      <w:r>
        <w:rPr>
          <w:rFonts w:ascii="Courier New" w:hAnsi="Courier New"/>
          <w:sz w:val="18"/>
        </w:rPr>
        <w:t xml:space="preserve">  ▼     ▼                              ▼</w:t>
      </w:r>
    </w:p>
    <w:p>
      <w:pPr>
        <w:spacing w:after="0"/>
        <w:ind w:left="567"/>
      </w:pPr>
      <w:r>
        <w:rPr>
          <w:rFonts w:ascii="Courier New" w:hAnsi="Courier New"/>
          <w:sz w:val="18"/>
        </w:rPr>
        <w:t>User   Transaction              Activity</w:t>
      </w:r>
    </w:p>
    <w:p>
      <w:pPr>
        <w:spacing w:after="0"/>
        <w:ind w:left="567"/>
      </w:pPr>
      <w:r>
        <w:rPr>
          <w:rFonts w:ascii="Courier New" w:hAnsi="Courier New"/>
          <w:sz w:val="18"/>
        </w:rPr>
        <w:t>Service  Service                 Service</w:t>
      </w:r>
    </w:p>
    <w:p>
      <w:pPr>
        <w:spacing w:after="0"/>
        <w:ind w:left="567"/>
      </w:pPr>
      <w:r>
        <w:rPr>
          <w:rFonts w:ascii="Courier New" w:hAnsi="Courier New"/>
          <w:sz w:val="18"/>
        </w:rPr>
        <w:t>(8000)   (8080)                  (8001)</w:t>
      </w:r>
    </w:p>
    <w:p>
      <w:pPr>
        <w:spacing w:after="0"/>
        <w:ind w:left="567"/>
      </w:pPr>
      <w:r>
        <w:rPr>
          <w:rFonts w:ascii="Courier New" w:hAnsi="Courier New"/>
          <w:sz w:val="18"/>
        </w:rPr>
        <w:t xml:space="preserve">  │       │           ▲              │</w:t>
      </w:r>
    </w:p>
    <w:p>
      <w:pPr>
        <w:spacing w:after="0"/>
        <w:ind w:left="567"/>
      </w:pPr>
      <w:r>
        <w:rPr>
          <w:rFonts w:ascii="Courier New" w:hAnsi="Courier New"/>
          <w:sz w:val="18"/>
        </w:rPr>
        <w:t xml:space="preserve">  ▼       ▼           │              ▼</w:t>
      </w:r>
    </w:p>
    <w:p>
      <w:pPr>
        <w:spacing w:after="0"/>
        <w:ind w:left="567"/>
      </w:pPr>
      <w:r>
        <w:rPr>
          <w:rFonts w:ascii="Courier New" w:hAnsi="Courier New"/>
          <w:sz w:val="18"/>
        </w:rPr>
        <w:t>PostgreSQL  Redis    Kafka  ◄── Activity consumer</w:t>
      </w:r>
    </w:p>
    <w:p>
      <w:pPr>
        <w:spacing w:after="0"/>
        <w:ind w:left="567"/>
      </w:pPr>
      <w:r>
        <w:rPr>
          <w:rFonts w:ascii="Courier New" w:hAnsi="Courier New"/>
          <w:sz w:val="18"/>
        </w:rPr>
        <w:t xml:space="preserve">  (5432)   (6379)   (9092)</w:t>
      </w:r>
    </w:p>
    <w:p/>
    <w:p>
      <w:pPr>
        <w:spacing w:before="160" w:after="80"/>
        <w:jc w:val="left"/>
      </w:pPr>
      <w:r>
        <w:rPr>
          <w:b/>
          <w:color w:val="1E50A2"/>
          <w:sz w:val="32"/>
        </w:rPr>
        <w:t>2.2  Component Reference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51"/>
            <w:shd w:val="clear" w:color="auto" w:fill="1A376E"/>
          </w:tcPr>
          <w:p>
            <w:r>
              <w:rPr>
                <w:b/>
                <w:color w:val="FFFFFF"/>
                <w:sz w:val="19"/>
              </w:rPr>
              <w:t>Component</w:t>
            </w:r>
          </w:p>
        </w:tc>
        <w:tc>
          <w:tcPr>
            <w:tcW w:type="dxa" w:w="2551"/>
            <w:shd w:val="clear" w:color="auto" w:fill="1A376E"/>
          </w:tcPr>
          <w:p>
            <w:r>
              <w:rPr>
                <w:b/>
                <w:color w:val="FFFFFF"/>
                <w:sz w:val="19"/>
              </w:rPr>
              <w:t>Technology</w:t>
            </w:r>
          </w:p>
        </w:tc>
        <w:tc>
          <w:tcPr>
            <w:tcW w:type="dxa" w:w="850"/>
            <w:shd w:val="clear" w:color="auto" w:fill="1A376E"/>
          </w:tcPr>
          <w:p>
            <w:r>
              <w:rPr>
                <w:b/>
                <w:color w:val="FFFFFF"/>
                <w:sz w:val="19"/>
              </w:rPr>
              <w:t>Port</w:t>
            </w:r>
          </w:p>
        </w:tc>
        <w:tc>
          <w:tcPr>
            <w:tcW w:type="dxa" w:w="3402"/>
            <w:shd w:val="clear" w:color="auto" w:fill="1A376E"/>
          </w:tcPr>
          <w:p>
            <w:r>
              <w:rPr>
                <w:b/>
                <w:color w:val="FFFFFF"/>
                <w:sz w:val="19"/>
              </w:rPr>
              <w:t>Responsibility</w:t>
            </w:r>
          </w:p>
        </w:tc>
      </w:tr>
      <w:tr>
        <w:tc>
          <w:tcPr>
            <w:tcW w:type="dxa" w:w="2551"/>
            <w:shd w:val="clear" w:color="auto" w:fill="EDF1FA"/>
          </w:tcPr>
          <w:p>
            <w:r>
              <w:rPr>
                <w:sz w:val="19"/>
              </w:rPr>
              <w:t>Frontend</w:t>
            </w:r>
          </w:p>
        </w:tc>
        <w:tc>
          <w:tcPr>
            <w:tcW w:type="dxa" w:w="2551"/>
            <w:shd w:val="clear" w:color="auto" w:fill="EDF1FA"/>
          </w:tcPr>
          <w:p>
            <w:r>
              <w:rPr>
                <w:sz w:val="19"/>
              </w:rPr>
              <w:t>React 18 + Vite + Tailwind CSS</w:t>
            </w:r>
          </w:p>
        </w:tc>
        <w:tc>
          <w:tcPr>
            <w:tcW w:type="dxa" w:w="850"/>
            <w:shd w:val="clear" w:color="auto" w:fill="EDF1FA"/>
          </w:tcPr>
          <w:p>
            <w:r>
              <w:rPr>
                <w:sz w:val="19"/>
              </w:rPr>
              <w:t>3000</w:t>
            </w:r>
          </w:p>
        </w:tc>
        <w:tc>
          <w:tcPr>
            <w:tcW w:type="dxa" w:w="3402"/>
            <w:shd w:val="clear" w:color="auto" w:fill="EDF1FA"/>
          </w:tcPr>
          <w:p>
            <w:r>
              <w:rPr>
                <w:sz w:val="19"/>
              </w:rPr>
              <w:t>Customer-facing single-page banking app</w:t>
            </w:r>
          </w:p>
        </w:tc>
      </w:tr>
      <w:tr>
        <w:tc>
          <w:tcPr>
            <w:tcW w:type="dxa" w:w="2551"/>
            <w:shd w:val="clear" w:color="auto" w:fill="FFFFFF"/>
          </w:tcPr>
          <w:p>
            <w:r>
              <w:rPr>
                <w:sz w:val="19"/>
              </w:rPr>
              <w:t>User Service</w:t>
            </w:r>
          </w:p>
        </w:tc>
        <w:tc>
          <w:tcPr>
            <w:tcW w:type="dxa" w:w="2551"/>
            <w:shd w:val="clear" w:color="auto" w:fill="FFFFFF"/>
          </w:tcPr>
          <w:p>
            <w:r>
              <w:rPr>
                <w:sz w:val="19"/>
              </w:rPr>
              <w:t>Python / FastAPI</w:t>
            </w:r>
          </w:p>
        </w:tc>
        <w:tc>
          <w:tcPr>
            <w:tcW w:type="dxa" w:w="850"/>
            <w:shd w:val="clear" w:color="auto" w:fill="FFFFFF"/>
          </w:tcPr>
          <w:p>
            <w:r>
              <w:rPr>
                <w:sz w:val="19"/>
              </w:rPr>
              <w:t>8000</w:t>
            </w:r>
          </w:p>
        </w:tc>
        <w:tc>
          <w:tcPr>
            <w:tcW w:type="dxa" w:w="3402"/>
            <w:shd w:val="clear" w:color="auto" w:fill="FFFFFF"/>
          </w:tcPr>
          <w:p>
            <w:r>
              <w:rPr>
                <w:sz w:val="19"/>
              </w:rPr>
              <w:t>User registration; account initialisation</w:t>
            </w:r>
          </w:p>
        </w:tc>
      </w:tr>
      <w:tr>
        <w:tc>
          <w:tcPr>
            <w:tcW w:type="dxa" w:w="2551"/>
            <w:shd w:val="clear" w:color="auto" w:fill="EDF1FA"/>
          </w:tcPr>
          <w:p>
            <w:r>
              <w:rPr>
                <w:sz w:val="19"/>
              </w:rPr>
              <w:t>Transaction Service</w:t>
            </w:r>
          </w:p>
        </w:tc>
        <w:tc>
          <w:tcPr>
            <w:tcW w:type="dxa" w:w="2551"/>
            <w:shd w:val="clear" w:color="auto" w:fill="EDF1FA"/>
          </w:tcPr>
          <w:p>
            <w:r>
              <w:rPr>
                <w:sz w:val="19"/>
              </w:rPr>
              <w:t>Java 17 / Spring Boot 3</w:t>
            </w:r>
          </w:p>
        </w:tc>
        <w:tc>
          <w:tcPr>
            <w:tcW w:type="dxa" w:w="850"/>
            <w:shd w:val="clear" w:color="auto" w:fill="EDF1FA"/>
          </w:tcPr>
          <w:p>
            <w:r>
              <w:rPr>
                <w:sz w:val="19"/>
              </w:rPr>
              <w:t>8080</w:t>
            </w:r>
          </w:p>
        </w:tc>
        <w:tc>
          <w:tcPr>
            <w:tcW w:type="dxa" w:w="3402"/>
            <w:shd w:val="clear" w:color="auto" w:fill="EDF1FA"/>
          </w:tcPr>
          <w:p>
            <w:r>
              <w:rPr>
                <w:sz w:val="19"/>
              </w:rPr>
              <w:t>Deposits, withdrawals, transfers, balance cache</w:t>
            </w:r>
          </w:p>
        </w:tc>
      </w:tr>
      <w:tr>
        <w:tc>
          <w:tcPr>
            <w:tcW w:type="dxa" w:w="2551"/>
            <w:shd w:val="clear" w:color="auto" w:fill="FFFFFF"/>
          </w:tcPr>
          <w:p>
            <w:r>
              <w:rPr>
                <w:sz w:val="19"/>
              </w:rPr>
              <w:t>Activity Service</w:t>
            </w:r>
          </w:p>
        </w:tc>
        <w:tc>
          <w:tcPr>
            <w:tcW w:type="dxa" w:w="2551"/>
            <w:shd w:val="clear" w:color="auto" w:fill="FFFFFF"/>
          </w:tcPr>
          <w:p>
            <w:r>
              <w:rPr>
                <w:sz w:val="19"/>
              </w:rPr>
              <w:t>Python / FastAPI + Kafka consumer</w:t>
            </w:r>
          </w:p>
        </w:tc>
        <w:tc>
          <w:tcPr>
            <w:tcW w:type="dxa" w:w="850"/>
            <w:shd w:val="clear" w:color="auto" w:fill="FFFFFF"/>
          </w:tcPr>
          <w:p>
            <w:r>
              <w:rPr>
                <w:sz w:val="19"/>
              </w:rPr>
              <w:t>8001</w:t>
            </w:r>
          </w:p>
        </w:tc>
        <w:tc>
          <w:tcPr>
            <w:tcW w:type="dxa" w:w="3402"/>
            <w:shd w:val="clear" w:color="auto" w:fill="FFFFFF"/>
          </w:tcPr>
          <w:p>
            <w:r>
              <w:rPr>
                <w:sz w:val="19"/>
              </w:rPr>
              <w:t>Activity log; consumes Kafka banking-transactions topic</w:t>
            </w:r>
          </w:p>
        </w:tc>
      </w:tr>
      <w:tr>
        <w:tc>
          <w:tcPr>
            <w:tcW w:type="dxa" w:w="2551"/>
            <w:shd w:val="clear" w:color="auto" w:fill="EDF1FA"/>
          </w:tcPr>
          <w:p>
            <w:r>
              <w:rPr>
                <w:sz w:val="19"/>
              </w:rPr>
              <w:t>PostgreSQL 15</w:t>
            </w:r>
          </w:p>
        </w:tc>
        <w:tc>
          <w:tcPr>
            <w:tcW w:type="dxa" w:w="2551"/>
            <w:shd w:val="clear" w:color="auto" w:fill="EDF1FA"/>
          </w:tcPr>
          <w:p>
            <w:r>
              <w:rPr>
                <w:sz w:val="19"/>
              </w:rPr>
              <w:t>Relational database</w:t>
            </w:r>
          </w:p>
        </w:tc>
        <w:tc>
          <w:tcPr>
            <w:tcW w:type="dxa" w:w="850"/>
            <w:shd w:val="clear" w:color="auto" w:fill="EDF1FA"/>
          </w:tcPr>
          <w:p>
            <w:r>
              <w:rPr>
                <w:sz w:val="19"/>
              </w:rPr>
              <w:t>5432</w:t>
            </w:r>
          </w:p>
        </w:tc>
        <w:tc>
          <w:tcPr>
            <w:tcW w:type="dxa" w:w="3402"/>
            <w:shd w:val="clear" w:color="auto" w:fill="EDF1FA"/>
          </w:tcPr>
          <w:p>
            <w:r>
              <w:rPr>
                <w:sz w:val="19"/>
              </w:rPr>
              <w:t>Persistent store for all application data</w:t>
            </w:r>
          </w:p>
        </w:tc>
      </w:tr>
      <w:tr>
        <w:tc>
          <w:tcPr>
            <w:tcW w:type="dxa" w:w="2551"/>
            <w:shd w:val="clear" w:color="auto" w:fill="FFFFFF"/>
          </w:tcPr>
          <w:p>
            <w:r>
              <w:rPr>
                <w:sz w:val="19"/>
              </w:rPr>
              <w:t>Redis 7</w:t>
            </w:r>
          </w:p>
        </w:tc>
        <w:tc>
          <w:tcPr>
            <w:tcW w:type="dxa" w:w="2551"/>
            <w:shd w:val="clear" w:color="auto" w:fill="FFFFFF"/>
          </w:tcPr>
          <w:p>
            <w:r>
              <w:rPr>
                <w:sz w:val="19"/>
              </w:rPr>
              <w:t>In-memory cache</w:t>
            </w:r>
          </w:p>
        </w:tc>
        <w:tc>
          <w:tcPr>
            <w:tcW w:type="dxa" w:w="850"/>
            <w:shd w:val="clear" w:color="auto" w:fill="FFFFFF"/>
          </w:tcPr>
          <w:p>
            <w:r>
              <w:rPr>
                <w:sz w:val="19"/>
              </w:rPr>
              <w:t>6379</w:t>
            </w:r>
          </w:p>
        </w:tc>
        <w:tc>
          <w:tcPr>
            <w:tcW w:type="dxa" w:w="3402"/>
            <w:shd w:val="clear" w:color="auto" w:fill="FFFFFF"/>
          </w:tcPr>
          <w:p>
            <w:r>
              <w:rPr>
                <w:sz w:val="19"/>
              </w:rPr>
              <w:t>Account balance caching in Transaction Service</w:t>
            </w:r>
          </w:p>
        </w:tc>
      </w:tr>
      <w:tr>
        <w:tc>
          <w:tcPr>
            <w:tcW w:type="dxa" w:w="2551"/>
            <w:shd w:val="clear" w:color="auto" w:fill="EDF1FA"/>
          </w:tcPr>
          <w:p>
            <w:r>
              <w:rPr>
                <w:sz w:val="19"/>
              </w:rPr>
              <w:t>Apache Kafka</w:t>
            </w:r>
          </w:p>
        </w:tc>
        <w:tc>
          <w:tcPr>
            <w:tcW w:type="dxa" w:w="2551"/>
            <w:shd w:val="clear" w:color="auto" w:fill="EDF1FA"/>
          </w:tcPr>
          <w:p>
            <w:r>
              <w:rPr>
                <w:sz w:val="19"/>
              </w:rPr>
              <w:t>Distributed event broker</w:t>
            </w:r>
          </w:p>
        </w:tc>
        <w:tc>
          <w:tcPr>
            <w:tcW w:type="dxa" w:w="850"/>
            <w:shd w:val="clear" w:color="auto" w:fill="EDF1FA"/>
          </w:tcPr>
          <w:p>
            <w:r>
              <w:rPr>
                <w:sz w:val="19"/>
              </w:rPr>
              <w:t>9092</w:t>
            </w:r>
          </w:p>
        </w:tc>
        <w:tc>
          <w:tcPr>
            <w:tcW w:type="dxa" w:w="3402"/>
            <w:shd w:val="clear" w:color="auto" w:fill="EDF1FA"/>
          </w:tcPr>
          <w:p>
            <w:r>
              <w:rPr>
                <w:sz w:val="19"/>
              </w:rPr>
              <w:t>Async event pipeline — transactions → activity logs</w:t>
            </w:r>
          </w:p>
        </w:tc>
      </w:tr>
    </w:tbl>
    <w:p/>
    <w:p>
      <w:pPr>
        <w:spacing w:before="160" w:after="80"/>
        <w:jc w:val="left"/>
      </w:pPr>
      <w:r>
        <w:rPr>
          <w:b/>
          <w:color w:val="1E50A2"/>
          <w:sz w:val="32"/>
        </w:rPr>
        <w:t>2.3  Data Flow</w:t>
      </w:r>
    </w:p>
    <w:p>
      <w:pPr>
        <w:pStyle w:val="ListNumber"/>
        <w:spacing w:after="60"/>
      </w:pPr>
      <w:r>
        <w:rPr>
          <w:sz w:val="21"/>
        </w:rPr>
        <w:t>Customer interacts with the React frontend (register, log in, initiate transaction).</w:t>
      </w:r>
    </w:p>
    <w:p>
      <w:pPr>
        <w:pStyle w:val="ListNumber"/>
        <w:spacing w:after="60"/>
      </w:pPr>
      <w:r>
        <w:rPr>
          <w:sz w:val="21"/>
        </w:rPr>
        <w:t>Frontend calls the appropriate backend microservice via HTTP.</w:t>
      </w:r>
    </w:p>
    <w:p>
      <w:pPr>
        <w:pStyle w:val="ListNumber"/>
        <w:spacing w:after="60"/>
      </w:pPr>
      <w:r>
        <w:rPr>
          <w:b/>
          <w:sz w:val="21"/>
        </w:rPr>
        <w:t xml:space="preserve">User Service: </w:t>
      </w:r>
      <w:r>
        <w:rPr>
          <w:sz w:val="21"/>
        </w:rPr>
      </w:r>
    </w:p>
    <w:p>
      <w:pPr>
        <w:pStyle w:val="ListNumber"/>
        <w:spacing w:after="60"/>
      </w:pPr>
      <w:r>
        <w:rPr>
          <w:b/>
          <w:sz w:val="21"/>
        </w:rPr>
        <w:t xml:space="preserve">User Service: </w:t>
      </w:r>
      <w:r>
        <w:rPr>
          <w:sz w:val="21"/>
        </w:rPr>
        <w:t>creates user row in PostgreSQL and initialises a bank account with zero balance.</w:t>
      </w:r>
    </w:p>
    <w:p>
      <w:pPr>
        <w:pStyle w:val="ListNumber"/>
        <w:spacing w:after="60"/>
      </w:pPr>
      <w:r>
        <w:rPr>
          <w:b/>
          <w:sz w:val="21"/>
        </w:rPr>
        <w:t xml:space="preserve">Transaction Service: </w:t>
      </w:r>
      <w:r>
        <w:rPr>
          <w:sz w:val="21"/>
        </w:rPr>
        <w:t>validates the request, updates balances in PostgreSQL, updates the Redis cache, and publishes an event to the Kafka topic banking-transactions.</w:t>
      </w:r>
    </w:p>
    <w:p>
      <w:pPr>
        <w:pStyle w:val="ListNumber"/>
        <w:spacing w:after="60"/>
      </w:pPr>
      <w:r>
        <w:rPr>
          <w:b/>
          <w:sz w:val="21"/>
        </w:rPr>
        <w:t xml:space="preserve">Activity Service: </w:t>
      </w:r>
      <w:r>
        <w:rPr>
          <w:sz w:val="21"/>
        </w:rPr>
        <w:t>Kafka consumer thread picks up the event and writes a structured activity record to PostgreSQL. The customer can then view this in the Reports screen.</w:t>
      </w:r>
    </w:p>
    <w:p/>
    <w:p>
      <w:pPr>
        <w:spacing w:before="160" w:after="80"/>
        <w:jc w:val="left"/>
      </w:pPr>
      <w:r>
        <w:rPr>
          <w:b/>
          <w:color w:val="1E50A2"/>
          <w:sz w:val="32"/>
        </w:rPr>
        <w:t>2.4  Database Schema</w:t>
      </w:r>
    </w:p>
    <w:tbl>
      <w:tblPr>
        <w:tblStyle w:val="TableGrid"/>
        <w:tblW w:type="auto" w:w="0"/>
        <w:jc w:val="left"/>
        <w:tblLook w:firstColumn="1" w:firstRow="1" w:lastColumn="0" w:lastRow="0" w:noHBand="0" w:noVBand="1" w:val="04A0"/>
      </w:tblPr>
      <w:tblGrid>
        <w:gridCol w:w="3135"/>
        <w:gridCol w:w="3135"/>
        <w:gridCol w:w="3135"/>
      </w:tblGrid>
      <w:tr>
        <w:tc>
          <w:tcPr>
            <w:tcW w:type="dxa" w:w="1701"/>
            <w:shd w:val="clear" w:color="auto" w:fill="1A376E"/>
          </w:tcPr>
          <w:p>
            <w:r>
              <w:rPr>
                <w:b/>
                <w:color w:val="FFFFFF"/>
                <w:sz w:val="19"/>
              </w:rPr>
              <w:t>Table</w:t>
            </w:r>
          </w:p>
        </w:tc>
        <w:tc>
          <w:tcPr>
            <w:tcW w:type="dxa" w:w="4535"/>
            <w:shd w:val="clear" w:color="auto" w:fill="1A376E"/>
          </w:tcPr>
          <w:p>
            <w:r>
              <w:rPr>
                <w:b/>
                <w:color w:val="FFFFFF"/>
                <w:sz w:val="19"/>
              </w:rPr>
              <w:t>Key Columns</w:t>
            </w:r>
          </w:p>
        </w:tc>
        <w:tc>
          <w:tcPr>
            <w:tcW w:type="dxa" w:w="3118"/>
            <w:shd w:val="clear" w:color="auto" w:fill="1A376E"/>
          </w:tcPr>
          <w:p>
            <w:r>
              <w:rPr>
                <w:b/>
                <w:color w:val="FFFFFF"/>
                <w:sz w:val="19"/>
              </w:rPr>
              <w:t>Written By</w:t>
            </w:r>
          </w:p>
        </w:tc>
      </w:tr>
      <w:tr>
        <w:tc>
          <w:tcPr>
            <w:tcW w:type="dxa" w:w="1701"/>
            <w:shd w:val="clear" w:color="auto" w:fill="EDF1FA"/>
          </w:tcPr>
          <w:p>
            <w:r>
              <w:rPr>
                <w:sz w:val="19"/>
              </w:rPr>
              <w:t>users</w:t>
            </w:r>
          </w:p>
        </w:tc>
        <w:tc>
          <w:tcPr>
            <w:tcW w:type="dxa" w:w="4535"/>
            <w:shd w:val="clear" w:color="auto" w:fill="EDF1FA"/>
          </w:tcPr>
          <w:p>
            <w:r>
              <w:rPr>
                <w:sz w:val="19"/>
              </w:rPr>
              <w:t>id, full_name, email, created_at</w:t>
            </w:r>
          </w:p>
        </w:tc>
        <w:tc>
          <w:tcPr>
            <w:tcW w:type="dxa" w:w="3118"/>
            <w:shd w:val="clear" w:color="auto" w:fill="EDF1FA"/>
          </w:tcPr>
          <w:p>
            <w:r>
              <w:rPr>
                <w:sz w:val="19"/>
              </w:rPr>
              <w:t>User Service</w:t>
            </w:r>
          </w:p>
        </w:tc>
      </w:tr>
      <w:tr>
        <w:tc>
          <w:tcPr>
            <w:tcW w:type="dxa" w:w="1701"/>
            <w:shd w:val="clear" w:color="auto" w:fill="FFFFFF"/>
          </w:tcPr>
          <w:p>
            <w:r>
              <w:rPr>
                <w:sz w:val="19"/>
              </w:rPr>
              <w:t>accounts</w:t>
            </w:r>
          </w:p>
        </w:tc>
        <w:tc>
          <w:tcPr>
            <w:tcW w:type="dxa" w:w="4535"/>
            <w:shd w:val="clear" w:color="auto" w:fill="FFFFFF"/>
          </w:tcPr>
          <w:p>
            <w:r>
              <w:rPr>
                <w:sz w:val="19"/>
              </w:rPr>
              <w:t>user_id (FK → users), balance, updated_at</w:t>
            </w:r>
          </w:p>
        </w:tc>
        <w:tc>
          <w:tcPr>
            <w:tcW w:type="dxa" w:w="3118"/>
            <w:shd w:val="clear" w:color="auto" w:fill="FFFFFF"/>
          </w:tcPr>
          <w:p>
            <w:r>
              <w:rPr>
                <w:sz w:val="19"/>
              </w:rPr>
              <w:t>User Service / Transaction Service</w:t>
            </w:r>
          </w:p>
        </w:tc>
      </w:tr>
      <w:tr>
        <w:tc>
          <w:tcPr>
            <w:tcW w:type="dxa" w:w="1701"/>
            <w:shd w:val="clear" w:color="auto" w:fill="EDF1FA"/>
          </w:tcPr>
          <w:p>
            <w:r>
              <w:rPr>
                <w:sz w:val="19"/>
              </w:rPr>
              <w:t>transactions</w:t>
            </w:r>
          </w:p>
        </w:tc>
        <w:tc>
          <w:tcPr>
            <w:tcW w:type="dxa" w:w="4535"/>
            <w:shd w:val="clear" w:color="auto" w:fill="EDF1FA"/>
          </w:tcPr>
          <w:p>
            <w:r>
              <w:rPr>
                <w:sz w:val="19"/>
              </w:rPr>
              <w:t>id, user_id, transaction_type, amount, reference, created_at</w:t>
            </w:r>
          </w:p>
        </w:tc>
        <w:tc>
          <w:tcPr>
            <w:tcW w:type="dxa" w:w="3118"/>
            <w:shd w:val="clear" w:color="auto" w:fill="EDF1FA"/>
          </w:tcPr>
          <w:p>
            <w:r>
              <w:rPr>
                <w:sz w:val="19"/>
              </w:rPr>
              <w:t>Transaction Service</w:t>
            </w:r>
          </w:p>
        </w:tc>
      </w:tr>
      <w:tr>
        <w:tc>
          <w:tcPr>
            <w:tcW w:type="dxa" w:w="1701"/>
            <w:shd w:val="clear" w:color="auto" w:fill="FFFFFF"/>
          </w:tcPr>
          <w:p>
            <w:r>
              <w:rPr>
                <w:sz w:val="19"/>
              </w:rPr>
              <w:t>activities</w:t>
            </w:r>
          </w:p>
        </w:tc>
        <w:tc>
          <w:tcPr>
            <w:tcW w:type="dxa" w:w="4535"/>
            <w:shd w:val="clear" w:color="auto" w:fill="FFFFFF"/>
          </w:tcPr>
          <w:p>
            <w:r>
              <w:rPr>
                <w:sz w:val="19"/>
              </w:rPr>
              <w:t>id, user_id, activity_type, description, created_at</w:t>
            </w:r>
          </w:p>
        </w:tc>
        <w:tc>
          <w:tcPr>
            <w:tcW w:type="dxa" w:w="3118"/>
            <w:shd w:val="clear" w:color="auto" w:fill="FFFFFF"/>
          </w:tcPr>
          <w:p>
            <w:r>
              <w:rPr>
                <w:sz w:val="19"/>
              </w:rPr>
              <w:t>Activity Service (via Kafka)</w:t>
            </w:r>
          </w:p>
        </w:tc>
      </w:tr>
    </w:tbl>
    <w:p/>
    <w:p>
      <w:pPr>
        <w:spacing w:before="240" w:after="80"/>
        <w:jc w:val="left"/>
      </w:pPr>
      <w:r>
        <w:rPr>
          <w:b/>
          <w:color w:val="1A376E"/>
          <w:sz w:val="44"/>
        </w:rPr>
        <w:t>3. The Frontend — Customer Portal</w:t>
      </w:r>
    </w:p>
    <w:p>
      <w:pPr>
        <w:pBdr>
          <w:bottom w:val="single" w:sz="6" w:space="1" w:color="1A376E"/>
        </w:pBdr>
        <w:spacing w:before="40" w:after="120"/>
      </w:pPr>
    </w:p>
    <w:p>
      <w:pPr>
        <w:spacing w:after="120"/>
        <w:ind w:left="0"/>
      </w:pPr>
      <w:r>
        <w:rPr>
          <w:b w:val="0"/>
          <w:i w:val="0"/>
          <w:sz w:val="21"/>
        </w:rPr>
        <w:t>The React frontend provides a complete, working banking experience. Students must ensure it is served correctly and can communicate with all three backend services in the Kubernetes cluster.</w:t>
      </w:r>
    </w:p>
    <w:p>
      <w:pPr>
        <w:spacing w:before="160" w:after="80"/>
        <w:jc w:val="left"/>
      </w:pPr>
      <w:r>
        <w:rPr>
          <w:b/>
          <w:color w:val="1E50A2"/>
          <w:sz w:val="32"/>
        </w:rPr>
        <w:t>3.1  Screens &amp; Features</w:t>
      </w:r>
    </w:p>
    <w:tbl>
      <w:tblPr>
        <w:tblStyle w:val="TableGrid"/>
        <w:tblW w:type="auto" w:w="0"/>
        <w:jc w:val="left"/>
        <w:tblLook w:firstColumn="1" w:firstRow="1" w:lastColumn="0" w:lastRow="0" w:noHBand="0" w:noVBand="1" w:val="04A0"/>
      </w:tblPr>
      <w:tblGrid>
        <w:gridCol w:w="4703"/>
        <w:gridCol w:w="4703"/>
      </w:tblGrid>
      <w:tr>
        <w:tc>
          <w:tcPr>
            <w:tcW w:type="dxa" w:w="1984"/>
            <w:shd w:val="clear" w:color="auto" w:fill="1A376E"/>
          </w:tcPr>
          <w:p>
            <w:r>
              <w:rPr>
                <w:b/>
                <w:color w:val="FFFFFF"/>
                <w:sz w:val="19"/>
              </w:rPr>
              <w:t>Screen</w:t>
            </w:r>
          </w:p>
        </w:tc>
        <w:tc>
          <w:tcPr>
            <w:tcW w:type="dxa" w:w="7370"/>
            <w:shd w:val="clear" w:color="auto" w:fill="1A376E"/>
          </w:tcPr>
          <w:p>
            <w:r>
              <w:rPr>
                <w:b/>
                <w:color w:val="FFFFFF"/>
                <w:sz w:val="19"/>
              </w:rPr>
              <w:t>Description</w:t>
            </w:r>
          </w:p>
        </w:tc>
      </w:tr>
      <w:tr>
        <w:tc>
          <w:tcPr>
            <w:tcW w:type="dxa" w:w="1984"/>
            <w:shd w:val="clear" w:color="auto" w:fill="EDF1FA"/>
          </w:tcPr>
          <w:p>
            <w:r>
              <w:rPr>
                <w:sz w:val="19"/>
              </w:rPr>
              <w:t>Login</w:t>
            </w:r>
          </w:p>
        </w:tc>
        <w:tc>
          <w:tcPr>
            <w:tcW w:type="dxa" w:w="7370"/>
            <w:shd w:val="clear" w:color="auto" w:fill="EDF1FA"/>
          </w:tcPr>
          <w:p>
            <w:r>
              <w:rPr>
                <w:sz w:val="19"/>
              </w:rPr>
              <w:t>User ID entry; validates against registered users. No real auth — demo mode.</w:t>
            </w:r>
          </w:p>
        </w:tc>
      </w:tr>
      <w:tr>
        <w:tc>
          <w:tcPr>
            <w:tcW w:type="dxa" w:w="1984"/>
            <w:shd w:val="clear" w:color="auto" w:fill="FFFFFF"/>
          </w:tcPr>
          <w:p>
            <w:r>
              <w:rPr>
                <w:sz w:val="19"/>
              </w:rPr>
              <w:t>Registration</w:t>
            </w:r>
          </w:p>
        </w:tc>
        <w:tc>
          <w:tcPr>
            <w:tcW w:type="dxa" w:w="7370"/>
            <w:shd w:val="clear" w:color="auto" w:fill="FFFFFF"/>
          </w:tcPr>
          <w:p>
            <w:r>
              <w:rPr>
                <w:sz w:val="19"/>
              </w:rPr>
              <w:t>Create a new user with ID, name, email; auto-initialises bank account.</w:t>
            </w:r>
          </w:p>
        </w:tc>
      </w:tr>
      <w:tr>
        <w:tc>
          <w:tcPr>
            <w:tcW w:type="dxa" w:w="1984"/>
            <w:shd w:val="clear" w:color="auto" w:fill="EDF1FA"/>
          </w:tcPr>
          <w:p>
            <w:r>
              <w:rPr>
                <w:sz w:val="19"/>
              </w:rPr>
              <w:t>Dashboard</w:t>
            </w:r>
          </w:p>
        </w:tc>
        <w:tc>
          <w:tcPr>
            <w:tcW w:type="dxa" w:w="7370"/>
            <w:shd w:val="clear" w:color="auto" w:fill="EDF1FA"/>
          </w:tcPr>
          <w:p>
            <w:r>
              <w:rPr>
                <w:sz w:val="19"/>
              </w:rPr>
              <w:t>Balance overview, account cards, quick-action buttons, recent transactions, monthly metrics.</w:t>
            </w:r>
          </w:p>
        </w:tc>
      </w:tr>
      <w:tr>
        <w:tc>
          <w:tcPr>
            <w:tcW w:type="dxa" w:w="1984"/>
            <w:shd w:val="clear" w:color="auto" w:fill="FFFFFF"/>
          </w:tcPr>
          <w:p>
            <w:r>
              <w:rPr>
                <w:sz w:val="19"/>
              </w:rPr>
              <w:t>Transfer</w:t>
            </w:r>
          </w:p>
        </w:tc>
        <w:tc>
          <w:tcPr>
            <w:tcW w:type="dxa" w:w="7370"/>
            <w:shd w:val="clear" w:color="auto" w:fill="FFFFFF"/>
          </w:tcPr>
          <w:p>
            <w:r>
              <w:rPr>
                <w:sz w:val="19"/>
              </w:rPr>
              <w:t>Deposit / Withdraw / Transfer with amount, reference, and recipient selection.</w:t>
            </w:r>
          </w:p>
        </w:tc>
      </w:tr>
      <w:tr>
        <w:tc>
          <w:tcPr>
            <w:tcW w:type="dxa" w:w="1984"/>
            <w:shd w:val="clear" w:color="auto" w:fill="EDF1FA"/>
          </w:tcPr>
          <w:p>
            <w:r>
              <w:rPr>
                <w:sz w:val="19"/>
              </w:rPr>
              <w:t>Reports</w:t>
            </w:r>
          </w:p>
        </w:tc>
        <w:tc>
          <w:tcPr>
            <w:tcW w:type="dxa" w:w="7370"/>
            <w:shd w:val="clear" w:color="auto" w:fill="EDF1FA"/>
          </w:tcPr>
          <w:p>
            <w:r>
              <w:rPr>
                <w:sz w:val="19"/>
              </w:rPr>
              <w:t>Weekly spending chart, transaction count, activity count, monthly in/out summary.</w:t>
            </w:r>
          </w:p>
        </w:tc>
      </w:tr>
    </w:tbl>
    <w:p/>
    <w:p>
      <w:pPr>
        <w:spacing w:before="160" w:after="80"/>
        <w:jc w:val="left"/>
      </w:pPr>
      <w:r>
        <w:rPr>
          <w:b/>
          <w:color w:val="1E50A2"/>
          <w:sz w:val="32"/>
        </w:rPr>
        <w:t>3.2  Backend API Dependencies</w:t>
      </w:r>
    </w:p>
    <w:p>
      <w:pPr>
        <w:spacing w:after="80"/>
        <w:ind w:left="0"/>
      </w:pPr>
      <w:r>
        <w:rPr>
          <w:b w:val="0"/>
          <w:i w:val="0"/>
          <w:sz w:val="21"/>
        </w:rPr>
        <w:t>The frontend uses hard-coded base URLs (configurable via environment variable or Kubernetes ConfigMap):</w:t>
      </w:r>
    </w:p>
    <w:p>
      <w:pPr>
        <w:pStyle w:val="ListBullet"/>
        <w:spacing w:after="40"/>
        <w:ind w:left="283"/>
      </w:pPr>
      <w:r>
        <w:rPr>
          <w:sz w:val="21"/>
        </w:rPr>
        <w:t>User Service     → http://localhost:8000</w:t>
      </w:r>
    </w:p>
    <w:p>
      <w:pPr>
        <w:pStyle w:val="ListBullet"/>
        <w:spacing w:after="40"/>
        <w:ind w:left="283"/>
      </w:pPr>
      <w:r>
        <w:rPr>
          <w:sz w:val="21"/>
        </w:rPr>
        <w:t>Transaction Service → http://localhost:8080</w:t>
      </w:r>
    </w:p>
    <w:p>
      <w:pPr>
        <w:pStyle w:val="ListBullet"/>
        <w:spacing w:after="40"/>
        <w:ind w:left="283"/>
      </w:pPr>
      <w:r>
        <w:rPr>
          <w:sz w:val="21"/>
        </w:rPr>
        <w:t>Activity Service  → http://localhost:8001</w:t>
      </w:r>
    </w:p>
    <w:p>
      <w:pPr>
        <w:spacing w:after="160"/>
        <w:ind w:left="0"/>
      </w:pPr>
      <w:r>
        <w:rPr>
          <w:b w:val="0"/>
          <w:i/>
          <w:sz w:val="21"/>
        </w:rPr>
        <w:t>In a Kubernetes deployment these URLs must be replaced with proper service DNS names or routed through an Ingress controller.</w:t>
      </w:r>
    </w:p>
    <w:p>
      <w:pPr>
        <w:spacing w:before="240" w:after="80"/>
        <w:jc w:val="left"/>
      </w:pPr>
      <w:r>
        <w:rPr>
          <w:b/>
          <w:color w:val="1A376E"/>
          <w:sz w:val="44"/>
        </w:rPr>
        <w:t>4. Capstone Objectives</w:t>
      </w:r>
    </w:p>
    <w:p>
      <w:pPr>
        <w:pBdr>
          <w:bottom w:val="single" w:sz="6" w:space="1" w:color="1A376E"/>
        </w:pBdr>
        <w:spacing w:before="40" w:after="120"/>
      </w:pPr>
    </w:p>
    <w:p>
      <w:pPr>
        <w:spacing w:after="160"/>
        <w:ind w:left="0"/>
      </w:pPr>
      <w:r>
        <w:rPr>
          <w:b w:val="0"/>
          <w:i w:val="0"/>
          <w:sz w:val="21"/>
        </w:rPr>
        <w:t>You must deploy and operate the full Techbleat Global Bank stack on Kubernetes at an enterprise standard. The objectives are grouped into four areas. All four must be met for a passing submission.</w:t>
      </w:r>
    </w:p>
    <w:p>
      <w:pPr>
        <w:spacing w:before="160" w:after="80"/>
        <w:jc w:val="left"/>
      </w:pPr>
      <w:r>
        <w:rPr>
          <w:b/>
          <w:color w:val="1E50A2"/>
          <w:sz w:val="32"/>
        </w:rPr>
        <w:t>4.1  Containerisation &amp; Image Management</w:t>
      </w:r>
    </w:p>
    <w:p>
      <w:pPr>
        <w:spacing w:after="80"/>
        <w:ind w:left="0"/>
      </w:pPr>
      <w:r>
        <w:rPr>
          <w:b w:val="0"/>
          <w:i w:val="0"/>
          <w:sz w:val="21"/>
        </w:rPr>
        <w:t>All services already have Dockerfiles. You must:</w:t>
      </w:r>
    </w:p>
    <w:p>
      <w:pPr>
        <w:pStyle w:val="ListNumber"/>
        <w:spacing w:after="60"/>
      </w:pPr>
      <w:r>
        <w:rPr>
          <w:sz w:val="21"/>
        </w:rPr>
        <w:t>Build production-ready Docker images for all four application components (frontend, user-service, transaction-service, activity-service).</w:t>
      </w:r>
    </w:p>
    <w:p>
      <w:pPr>
        <w:pStyle w:val="ListNumber"/>
        <w:spacing w:after="60"/>
      </w:pPr>
      <w:r>
        <w:rPr>
          <w:sz w:val="21"/>
        </w:rPr>
        <w:t>Push images to a container registry (Docker Hub, ECR, GCR, or equivalent).</w:t>
      </w:r>
    </w:p>
    <w:p>
      <w:pPr>
        <w:pStyle w:val="ListNumber"/>
        <w:spacing w:after="60"/>
      </w:pPr>
      <w:r>
        <w:rPr>
          <w:sz w:val="21"/>
        </w:rPr>
        <w:t>Apply semantic version tags — do not rely on latest in production manifests.</w:t>
      </w:r>
    </w:p>
    <w:p>
      <w:pPr>
        <w:pStyle w:val="ListNumber"/>
        <w:spacing w:after="60"/>
      </w:pPr>
      <w:r>
        <w:rPr>
          <w:sz w:val="21"/>
        </w:rPr>
        <w:t>Scan images for critical/high CVEs using a tool such as Trivy or Snyk and document any accepted risks.</w:t>
      </w:r>
    </w:p>
    <w:p/>
    <w:p>
      <w:pPr>
        <w:spacing w:before="160" w:after="80"/>
        <w:jc w:val="left"/>
      </w:pPr>
      <w:r>
        <w:rPr>
          <w:b/>
          <w:color w:val="1E50A2"/>
          <w:sz w:val="32"/>
        </w:rPr>
        <w:t>4.2  Kubernetes Deployment</w:t>
      </w:r>
    </w:p>
    <w:p>
      <w:pPr>
        <w:spacing w:after="80"/>
        <w:ind w:left="0"/>
      </w:pPr>
      <w:r>
        <w:rPr>
          <w:b w:val="0"/>
          <w:i w:val="0"/>
          <w:sz w:val="21"/>
        </w:rPr>
        <w:t>Deploy the entire platform onto a Kubernetes cluster (EKS, GKE, AKS, or a local kind/minikube cluster for demo purposes).</w:t>
      </w:r>
    </w:p>
    <w:p>
      <w:pPr>
        <w:spacing w:after="60"/>
        <w:ind w:left="0"/>
      </w:pPr>
      <w:r>
        <w:rPr>
          <w:b/>
          <w:i w:val="0"/>
          <w:sz w:val="21"/>
        </w:rPr>
        <w:t>You must produce Kubernetes manifests or a Helm chart that implements:</w:t>
      </w:r>
    </w:p>
    <w:p>
      <w:pPr>
        <w:pStyle w:val="ListNumber"/>
        <w:spacing w:after="60"/>
      </w:pPr>
      <w:r>
        <w:rPr>
          <w:b/>
          <w:sz w:val="21"/>
        </w:rPr>
        <w:t xml:space="preserve">Deployments / StatefulSets </w:t>
      </w:r>
      <w:r>
        <w:rPr>
          <w:sz w:val="21"/>
        </w:rPr>
      </w:r>
    </w:p>
    <w:p>
      <w:pPr>
        <w:pStyle w:val="ListNumber"/>
        <w:spacing w:after="60"/>
      </w:pPr>
      <w:r>
        <w:rPr>
          <w:b/>
          <w:sz w:val="21"/>
        </w:rPr>
        <w:t xml:space="preserve">Deployments / StatefulSets — </w:t>
      </w:r>
      <w:r>
        <w:rPr>
          <w:sz w:val="21"/>
        </w:rPr>
        <w:t>separate workloads for each microservice; stateful sets where appropriate (PostgreSQL, Kafka).</w:t>
      </w:r>
    </w:p>
    <w:p>
      <w:pPr>
        <w:pStyle w:val="ListNumber"/>
        <w:spacing w:after="60"/>
      </w:pPr>
      <w:r>
        <w:rPr>
          <w:b/>
          <w:sz w:val="21"/>
        </w:rPr>
        <w:t xml:space="preserve">Services &amp; Ingress — </w:t>
      </w:r>
      <w:r>
        <w:rPr>
          <w:sz w:val="21"/>
        </w:rPr>
        <w:t>ClusterIP services for internal communication; an Ingress (e.g. NGINX Ingress Controller) exposing the frontend and each API to external traffic with correct path routing.</w:t>
      </w:r>
    </w:p>
    <w:p>
      <w:pPr>
        <w:pStyle w:val="ListNumber"/>
        <w:spacing w:after="60"/>
      </w:pPr>
      <w:r>
        <w:rPr>
          <w:b/>
          <w:sz w:val="21"/>
        </w:rPr>
        <w:t xml:space="preserve">ConfigMaps &amp; Secrets — </w:t>
      </w:r>
      <w:r>
        <w:rPr>
          <w:sz w:val="21"/>
        </w:rPr>
        <w:t>externalise all configuration (DB URLs, Kafka addresses, Redis host) into ConfigMaps. Store credentials (DB password) in Kubernetes Secrets — never hard-code them in manifests.</w:t>
      </w:r>
    </w:p>
    <w:p>
      <w:pPr>
        <w:pStyle w:val="ListNumber"/>
        <w:spacing w:after="60"/>
      </w:pPr>
      <w:r>
        <w:rPr>
          <w:b/>
          <w:sz w:val="21"/>
        </w:rPr>
        <w:t xml:space="preserve">Resource Requests &amp; Limits — </w:t>
      </w:r>
      <w:r>
        <w:rPr>
          <w:sz w:val="21"/>
        </w:rPr>
        <w:t>define CPU and memory requests/limits on every container to enable the scheduler to place workloads correctly and protect the cluster from runaway processes.</w:t>
      </w:r>
    </w:p>
    <w:p>
      <w:pPr>
        <w:pStyle w:val="ListNumber"/>
        <w:spacing w:after="60"/>
      </w:pPr>
      <w:r>
        <w:rPr>
          <w:b/>
          <w:sz w:val="21"/>
        </w:rPr>
        <w:t xml:space="preserve">Liveness &amp; Readiness Probes — </w:t>
      </w:r>
      <w:r>
        <w:rPr>
          <w:sz w:val="21"/>
        </w:rPr>
        <w:t>every service exposes a /health endpoint; configure probes so Kubernetes can restart unhealthy pods and remove them from load balancer rotation during startup.</w:t>
      </w:r>
    </w:p>
    <w:p>
      <w:pPr>
        <w:pStyle w:val="ListNumber"/>
        <w:spacing w:after="60"/>
      </w:pPr>
      <w:r>
        <w:rPr>
          <w:b/>
          <w:sz w:val="21"/>
        </w:rPr>
        <w:t xml:space="preserve">Horizontal Pod Autoscaler (HPA) — </w:t>
      </w:r>
      <w:r>
        <w:rPr>
          <w:sz w:val="21"/>
        </w:rPr>
        <w:t>configure HPA on the Transaction Service (the most latency-sensitive component) to scale between 2 and 6 replicas based on CPU utilisation.</w:t>
      </w:r>
    </w:p>
    <w:p>
      <w:pPr>
        <w:pStyle w:val="ListNumber"/>
        <w:spacing w:after="60"/>
      </w:pPr>
      <w:r>
        <w:rPr>
          <w:b/>
          <w:sz w:val="21"/>
        </w:rPr>
        <w:t xml:space="preserve">Persistent Volumes — </w:t>
      </w:r>
      <w:r>
        <w:rPr>
          <w:sz w:val="21"/>
        </w:rPr>
        <w:t>PostgreSQL data must survive pod restarts. Provision a PersistentVolumeClaim backed by an appropriate StorageClass.</w:t>
      </w:r>
    </w:p>
    <w:p>
      <w:pPr>
        <w:pStyle w:val="ListNumber"/>
        <w:spacing w:after="60"/>
      </w:pPr>
      <w:r>
        <w:rPr>
          <w:b/>
          <w:sz w:val="21"/>
        </w:rPr>
        <w:t xml:space="preserve">Namespace — </w:t>
      </w:r>
      <w:r>
        <w:rPr>
          <w:sz w:val="21"/>
        </w:rPr>
        <w:t>deploy all workloads into a dedicated namespace (e.g. banking).</w:t>
      </w:r>
    </w:p>
    <w:p/>
    <w:p>
      <w:pPr>
        <w:spacing w:before="160" w:after="80"/>
        <w:jc w:val="left"/>
      </w:pPr>
      <w:r>
        <w:rPr>
          <w:b/>
          <w:color w:val="1E50A2"/>
          <w:sz w:val="32"/>
        </w:rPr>
        <w:t>4.3  Observability — Metrics, Logs &amp; Traces</w:t>
      </w:r>
    </w:p>
    <w:p>
      <w:pPr>
        <w:spacing w:after="120"/>
        <w:ind w:left="0"/>
      </w:pPr>
      <w:r>
        <w:rPr>
          <w:b w:val="0"/>
          <w:i w:val="0"/>
          <w:sz w:val="21"/>
        </w:rPr>
        <w:t>A production system is only trustworthy if you can see what it is doing. You must instrument the platform so that engineers have full visibility at all times.</w:t>
      </w:r>
    </w:p>
    <w:p>
      <w:pPr>
        <w:spacing w:after="80"/>
        <w:ind w:left="0"/>
      </w:pPr>
      <w:r>
        <w:rPr>
          <w:b/>
          <w:i w:val="0"/>
          <w:color w:val="007AC9"/>
          <w:sz w:val="21"/>
        </w:rPr>
        <w:t>Metrics</w:t>
      </w:r>
    </w:p>
    <w:p>
      <w:pPr>
        <w:pStyle w:val="ListBullet"/>
        <w:spacing w:after="40"/>
        <w:ind w:left="283"/>
      </w:pPr>
      <w:r>
        <w:rPr>
          <w:sz w:val="21"/>
        </w:rPr>
        <w:t>Deploy Prometheus (via the kube-prometheus-stack Helm chart or equivalent).</w:t>
      </w:r>
    </w:p>
    <w:p>
      <w:pPr>
        <w:pStyle w:val="ListBullet"/>
        <w:spacing w:after="40"/>
        <w:ind w:left="283"/>
      </w:pPr>
      <w:r>
        <w:rPr>
          <w:sz w:val="21"/>
        </w:rPr>
        <w:t>Instrument the Transaction Service and User Service to expose a /metrics endpoint (Micrometer for Spring Boot; prometheus-fastapi-instrumentator for FastAPI).</w:t>
      </w:r>
    </w:p>
    <w:p>
      <w:pPr>
        <w:pStyle w:val="ListBullet"/>
        <w:spacing w:after="40"/>
        <w:ind w:left="283"/>
      </w:pPr>
      <w:r>
        <w:rPr>
          <w:sz w:val="21"/>
        </w:rPr>
        <w:t>Scrape all application /metrics endpoints and standard Kubernetes node/pod metrics.</w:t>
      </w:r>
    </w:p>
    <w:p>
      <w:pPr>
        <w:pStyle w:val="ListBullet"/>
        <w:spacing w:after="40"/>
        <w:ind w:left="283"/>
      </w:pPr>
      <w:r>
        <w:rPr>
          <w:sz w:val="21"/>
        </w:rPr>
        <w:t>Write at least the following custom PromQL rules:</w:t>
      </w:r>
    </w:p>
    <w:p>
      <w:pPr>
        <w:pStyle w:val="ListBullet"/>
        <w:spacing w:after="40"/>
        <w:ind w:left="850"/>
      </w:pPr>
      <w:r>
        <w:rPr>
          <w:sz w:val="21"/>
        </w:rPr>
        <w:t>Transaction rate per second by type (deposit / withdraw / transfer)</w:t>
      </w:r>
    </w:p>
    <w:p>
      <w:pPr>
        <w:pStyle w:val="ListBullet"/>
        <w:spacing w:after="40"/>
        <w:ind w:left="850"/>
      </w:pPr>
      <w:r>
        <w:rPr>
          <w:sz w:val="21"/>
        </w:rPr>
        <w:t>HTTP error rate (5xx) per service</w:t>
      </w:r>
    </w:p>
    <w:p>
      <w:pPr>
        <w:pStyle w:val="ListBullet"/>
        <w:spacing w:after="40"/>
        <w:ind w:left="850"/>
      </w:pPr>
      <w:r>
        <w:rPr>
          <w:sz w:val="21"/>
        </w:rPr>
        <w:t>P95 and P99 request latency per service</w:t>
      </w:r>
    </w:p>
    <w:p>
      <w:pPr>
        <w:pStyle w:val="ListBullet"/>
        <w:spacing w:after="40"/>
        <w:ind w:left="850"/>
      </w:pPr>
      <w:r>
        <w:rPr>
          <w:sz w:val="21"/>
        </w:rPr>
        <w:t>Kafka consumer lag on the banking-transactions topic</w:t>
      </w:r>
    </w:p>
    <w:p>
      <w:pPr>
        <w:pStyle w:val="ListBullet"/>
        <w:spacing w:after="40"/>
        <w:ind w:left="850"/>
      </w:pPr>
      <w:r>
        <w:rPr>
          <w:sz w:val="21"/>
        </w:rPr>
        <w:t>Redis cache hit rate</w:t>
      </w:r>
    </w:p>
    <w:p>
      <w:pPr>
        <w:pStyle w:val="ListBullet"/>
        <w:spacing w:after="40"/>
        <w:ind w:left="850"/>
      </w:pPr>
      <w:r>
        <w:rPr>
          <w:sz w:val="21"/>
        </w:rPr>
        <w:t>PostgreSQL active connections and query duration</w:t>
      </w:r>
    </w:p>
    <w:p/>
    <w:p>
      <w:pPr>
        <w:spacing w:after="80"/>
        <w:ind w:left="0"/>
      </w:pPr>
      <w:r>
        <w:rPr>
          <w:b/>
          <w:i w:val="0"/>
          <w:color w:val="007AC9"/>
          <w:sz w:val="21"/>
        </w:rPr>
        <w:t>Logging</w:t>
      </w:r>
    </w:p>
    <w:p>
      <w:pPr>
        <w:pStyle w:val="ListBullet"/>
        <w:spacing w:after="40"/>
        <w:ind w:left="283"/>
      </w:pPr>
      <w:r>
        <w:rPr>
          <w:sz w:val="21"/>
        </w:rPr>
        <w:t>Deploy a centralised logging stack: the EFK stack (Elasticsearch + Fluentd/Fluent Bit + Kibana) or Grafana Loki.</w:t>
      </w:r>
    </w:p>
    <w:p>
      <w:pPr>
        <w:pStyle w:val="ListBullet"/>
        <w:spacing w:after="40"/>
        <w:ind w:left="283"/>
      </w:pPr>
      <w:r>
        <w:rPr>
          <w:sz w:val="21"/>
        </w:rPr>
        <w:t>All application containers must write structured JSON logs to stdout/stderr.</w:t>
      </w:r>
    </w:p>
    <w:p>
      <w:pPr>
        <w:pStyle w:val="ListBullet"/>
        <w:spacing w:after="40"/>
        <w:ind w:left="283"/>
      </w:pPr>
      <w:r>
        <w:rPr>
          <w:sz w:val="21"/>
        </w:rPr>
        <w:t>Create Kibana/Loki dashboards showing: error log rates, slow-request logs, Kafka consumer errors.</w:t>
      </w:r>
    </w:p>
    <w:p/>
    <w:p>
      <w:pPr>
        <w:spacing w:after="80"/>
        <w:ind w:left="0"/>
      </w:pPr>
      <w:r>
        <w:rPr>
          <w:b/>
          <w:i w:val="0"/>
          <w:color w:val="007AC9"/>
          <w:sz w:val="21"/>
        </w:rPr>
        <w:t>Distributed Tracing (Stretch Goal)</w:t>
      </w:r>
    </w:p>
    <w:p>
      <w:pPr>
        <w:pStyle w:val="ListBullet"/>
        <w:spacing w:after="40"/>
        <w:ind w:left="283"/>
      </w:pPr>
      <w:r>
        <w:rPr>
          <w:sz w:val="21"/>
        </w:rPr>
        <w:t>Deploy Jaeger or Tempo.</w:t>
      </w:r>
    </w:p>
    <w:p>
      <w:pPr>
        <w:pStyle w:val="ListBullet"/>
        <w:spacing w:after="40"/>
        <w:ind w:left="283"/>
      </w:pPr>
      <w:r>
        <w:rPr>
          <w:sz w:val="21"/>
        </w:rPr>
        <w:t>Instrument the Transaction Service with OpenTelemetry to produce traces that span the full request lifecycle (HTTP in → DB write → Kafka publish).</w:t>
      </w:r>
    </w:p>
    <w:p/>
    <w:p>
      <w:pPr>
        <w:spacing w:before="160" w:after="80"/>
        <w:jc w:val="left"/>
      </w:pPr>
      <w:r>
        <w:rPr>
          <w:b/>
          <w:color w:val="1E50A2"/>
          <w:sz w:val="32"/>
        </w:rPr>
        <w:t>4.4  Dashboards, Alerting &amp; Runbooks</w:t>
      </w:r>
    </w:p>
    <w:p>
      <w:pPr>
        <w:spacing w:after="120"/>
        <w:ind w:left="0"/>
      </w:pPr>
      <w:r>
        <w:rPr>
          <w:b w:val="0"/>
          <w:i w:val="0"/>
          <w:sz w:val="21"/>
        </w:rPr>
        <w:t>Visibility is only valuable if it drives action.</w:t>
      </w:r>
    </w:p>
    <w:p>
      <w:pPr>
        <w:spacing w:after="80"/>
        <w:ind w:left="0"/>
      </w:pPr>
      <w:r>
        <w:rPr>
          <w:b/>
          <w:i w:val="0"/>
          <w:color w:val="007AC9"/>
          <w:sz w:val="21"/>
        </w:rPr>
        <w:t>Grafana Dashboards</w:t>
      </w:r>
    </w:p>
    <w:p>
      <w:pPr>
        <w:pStyle w:val="ListBullet"/>
        <w:spacing w:after="40"/>
        <w:ind w:left="283"/>
      </w:pPr>
      <w:r>
        <w:rPr>
          <w:sz w:val="21"/>
        </w:rPr>
        <w:t>Deploy Grafana connected to Prometheus (and optionally Loki/Jaeger).</w:t>
      </w:r>
    </w:p>
    <w:p>
      <w:pPr>
        <w:pStyle w:val="ListBullet"/>
        <w:spacing w:after="40"/>
        <w:ind w:left="283"/>
      </w:pPr>
      <w:r>
        <w:rPr>
          <w:sz w:val="21"/>
        </w:rPr>
        <w:t>Build an Operations Overview dashboard containing:</w:t>
      </w:r>
    </w:p>
    <w:p>
      <w:pPr>
        <w:pStyle w:val="ListBullet"/>
        <w:spacing w:after="40"/>
        <w:ind w:left="850"/>
      </w:pPr>
      <w:r>
        <w:rPr>
          <w:sz w:val="21"/>
        </w:rPr>
        <w:t>All-services request rate and error rate</w:t>
      </w:r>
    </w:p>
    <w:p>
      <w:pPr>
        <w:pStyle w:val="ListBullet"/>
        <w:spacing w:after="40"/>
        <w:ind w:left="850"/>
      </w:pPr>
      <w:r>
        <w:rPr>
          <w:sz w:val="21"/>
        </w:rPr>
        <w:t>Per-service latency heatmap (P50 / P95 / P99)</w:t>
      </w:r>
    </w:p>
    <w:p>
      <w:pPr>
        <w:pStyle w:val="ListBullet"/>
        <w:spacing w:after="40"/>
        <w:ind w:left="850"/>
      </w:pPr>
      <w:r>
        <w:rPr>
          <w:sz w:val="21"/>
        </w:rPr>
        <w:t>Pod CPU and memory utilisation</w:t>
      </w:r>
    </w:p>
    <w:p>
      <w:pPr>
        <w:pStyle w:val="ListBullet"/>
        <w:spacing w:after="40"/>
        <w:ind w:left="850"/>
      </w:pPr>
      <w:r>
        <w:rPr>
          <w:sz w:val="21"/>
        </w:rPr>
        <w:t>HPA current vs desired replica count</w:t>
      </w:r>
    </w:p>
    <w:p>
      <w:pPr>
        <w:pStyle w:val="ListBullet"/>
        <w:spacing w:after="40"/>
        <w:ind w:left="850"/>
      </w:pPr>
      <w:r>
        <w:rPr>
          <w:sz w:val="21"/>
        </w:rPr>
        <w:t>Kafka consumer lag trend</w:t>
      </w:r>
    </w:p>
    <w:p>
      <w:pPr>
        <w:pStyle w:val="ListBullet"/>
        <w:spacing w:after="40"/>
        <w:ind w:left="850"/>
      </w:pPr>
      <w:r>
        <w:rPr>
          <w:sz w:val="21"/>
        </w:rPr>
        <w:t>Active PostgreSQL connections</w:t>
      </w:r>
    </w:p>
    <w:p>
      <w:pPr>
        <w:pStyle w:val="ListBullet"/>
        <w:spacing w:after="40"/>
        <w:ind w:left="283"/>
      </w:pPr>
      <w:r>
        <w:rPr>
          <w:sz w:val="21"/>
        </w:rPr>
        <w:t>Build a Business Metrics dashboard containing:</w:t>
      </w:r>
    </w:p>
    <w:p>
      <w:pPr>
        <w:pStyle w:val="ListBullet"/>
        <w:spacing w:after="40"/>
        <w:ind w:left="850"/>
      </w:pPr>
      <w:r>
        <w:rPr>
          <w:sz w:val="21"/>
        </w:rPr>
        <w:t>Transaction volume (deposits / withdrawals / transfers) over time</w:t>
      </w:r>
    </w:p>
    <w:p>
      <w:pPr>
        <w:pStyle w:val="ListBullet"/>
        <w:spacing w:after="40"/>
        <w:ind w:left="850"/>
      </w:pPr>
      <w:r>
        <w:rPr>
          <w:sz w:val="21"/>
        </w:rPr>
        <w:t>Total value transacted per hour</w:t>
      </w:r>
    </w:p>
    <w:p>
      <w:pPr>
        <w:pStyle w:val="ListBullet"/>
        <w:spacing w:after="40"/>
        <w:ind w:left="850"/>
      </w:pPr>
      <w:r>
        <w:rPr>
          <w:sz w:val="21"/>
        </w:rPr>
        <w:t>Registered user count over time</w:t>
      </w:r>
    </w:p>
    <w:p>
      <w:pPr>
        <w:pStyle w:val="ListBullet"/>
        <w:spacing w:after="40"/>
        <w:ind w:left="850"/>
      </w:pPr>
      <w:r>
        <w:rPr>
          <w:sz w:val="21"/>
        </w:rPr>
        <w:t>Active user sessions (users with activity in last 5 minutes)</w:t>
      </w:r>
    </w:p>
    <w:p/>
    <w:p>
      <w:pPr>
        <w:spacing w:after="80"/>
        <w:ind w:left="0"/>
      </w:pPr>
      <w:r>
        <w:rPr>
          <w:b/>
          <w:i w:val="0"/>
          <w:color w:val="007AC9"/>
          <w:sz w:val="21"/>
        </w:rPr>
        <w:t>Alerting</w:t>
      </w:r>
    </w:p>
    <w:p>
      <w:pPr>
        <w:spacing w:after="80"/>
        <w:ind w:left="0"/>
      </w:pPr>
      <w:r>
        <w:rPr>
          <w:b w:val="0"/>
          <w:i w:val="0"/>
          <w:sz w:val="21"/>
        </w:rPr>
        <w:t>Define the following PrometheusRule (or Grafana alert) conditions and route them to a notification channel (Slack, PagerDuty, email, or webhook):</w:t>
      </w:r>
    </w:p>
    <w:tbl>
      <w:tblPr>
        <w:tblStyle w:val="TableGrid"/>
        <w:tblW w:type="auto" w:w="0"/>
        <w:jc w:val="left"/>
        <w:tblLook w:firstColumn="1" w:firstRow="1" w:lastColumn="0" w:lastRow="0" w:noHBand="0" w:noVBand="1" w:val="04A0"/>
      </w:tblPr>
      <w:tblGrid>
        <w:gridCol w:w="3135"/>
        <w:gridCol w:w="3135"/>
        <w:gridCol w:w="3135"/>
      </w:tblGrid>
      <w:tr>
        <w:tc>
          <w:tcPr>
            <w:tcW w:type="dxa" w:w="2551"/>
            <w:shd w:val="clear" w:color="auto" w:fill="1A376E"/>
          </w:tcPr>
          <w:p>
            <w:r>
              <w:rPr>
                <w:b/>
                <w:color w:val="FFFFFF"/>
                <w:sz w:val="19"/>
              </w:rPr>
              <w:t>Alert Name</w:t>
            </w:r>
          </w:p>
        </w:tc>
        <w:tc>
          <w:tcPr>
            <w:tcW w:type="dxa" w:w="4535"/>
            <w:shd w:val="clear" w:color="auto" w:fill="1A376E"/>
          </w:tcPr>
          <w:p>
            <w:r>
              <w:rPr>
                <w:b/>
                <w:color w:val="FFFFFF"/>
                <w:sz w:val="19"/>
              </w:rPr>
              <w:t>Condition</w:t>
            </w:r>
          </w:p>
        </w:tc>
        <w:tc>
          <w:tcPr>
            <w:tcW w:type="dxa" w:w="1417"/>
            <w:shd w:val="clear" w:color="auto" w:fill="1A376E"/>
          </w:tcPr>
          <w:p>
            <w:r>
              <w:rPr>
                <w:b/>
                <w:color w:val="FFFFFF"/>
                <w:sz w:val="19"/>
              </w:rPr>
              <w:t>Severity</w:t>
            </w:r>
          </w:p>
        </w:tc>
      </w:tr>
      <w:tr>
        <w:tc>
          <w:tcPr>
            <w:tcW w:type="dxa" w:w="2551"/>
            <w:shd w:val="clear" w:color="auto" w:fill="EDF1FA"/>
          </w:tcPr>
          <w:p>
            <w:r>
              <w:rPr>
                <w:sz w:val="19"/>
              </w:rPr>
              <w:t>HighErrorRate</w:t>
            </w:r>
          </w:p>
        </w:tc>
        <w:tc>
          <w:tcPr>
            <w:tcW w:type="dxa" w:w="4535"/>
            <w:shd w:val="clear" w:color="auto" w:fill="EDF1FA"/>
          </w:tcPr>
          <w:p>
            <w:r>
              <w:rPr>
                <w:sz w:val="19"/>
              </w:rPr>
              <w:t>HTTP 5xx rate &gt; 5% over 5 minutes on any service</w:t>
            </w:r>
          </w:p>
        </w:tc>
        <w:tc>
          <w:tcPr>
            <w:tcW w:type="dxa" w:w="1417"/>
            <w:shd w:val="clear" w:color="auto" w:fill="EDF1FA"/>
          </w:tcPr>
          <w:p>
            <w:r>
              <w:rPr>
                <w:sz w:val="19"/>
              </w:rPr>
              <w:t>Critical</w:t>
            </w:r>
          </w:p>
        </w:tc>
      </w:tr>
      <w:tr>
        <w:tc>
          <w:tcPr>
            <w:tcW w:type="dxa" w:w="2551"/>
            <w:shd w:val="clear" w:color="auto" w:fill="FFFFFF"/>
          </w:tcPr>
          <w:p>
            <w:r>
              <w:rPr>
                <w:sz w:val="19"/>
              </w:rPr>
              <w:t>SlowTransactions</w:t>
            </w:r>
          </w:p>
        </w:tc>
        <w:tc>
          <w:tcPr>
            <w:tcW w:type="dxa" w:w="4535"/>
            <w:shd w:val="clear" w:color="auto" w:fill="FFFFFF"/>
          </w:tcPr>
          <w:p>
            <w:r>
              <w:rPr>
                <w:sz w:val="19"/>
              </w:rPr>
              <w:t>P95 transaction latency &gt; 2 s over 5 minutes</w:t>
            </w:r>
          </w:p>
        </w:tc>
        <w:tc>
          <w:tcPr>
            <w:tcW w:type="dxa" w:w="1417"/>
            <w:shd w:val="clear" w:color="auto" w:fill="FFFFFF"/>
          </w:tcPr>
          <w:p>
            <w:r>
              <w:rPr>
                <w:sz w:val="19"/>
              </w:rPr>
              <w:t>Warning</w:t>
            </w:r>
          </w:p>
        </w:tc>
      </w:tr>
      <w:tr>
        <w:tc>
          <w:tcPr>
            <w:tcW w:type="dxa" w:w="2551"/>
            <w:shd w:val="clear" w:color="auto" w:fill="EDF1FA"/>
          </w:tcPr>
          <w:p>
            <w:r>
              <w:rPr>
                <w:sz w:val="19"/>
              </w:rPr>
              <w:t>KafkaConsumerLag</w:t>
            </w:r>
          </w:p>
        </w:tc>
        <w:tc>
          <w:tcPr>
            <w:tcW w:type="dxa" w:w="4535"/>
            <w:shd w:val="clear" w:color="auto" w:fill="EDF1FA"/>
          </w:tcPr>
          <w:p>
            <w:r>
              <w:rPr>
                <w:sz w:val="19"/>
              </w:rPr>
              <w:t>Kafka consumer lag &gt; 100 messages for 3 minutes</w:t>
            </w:r>
          </w:p>
        </w:tc>
        <w:tc>
          <w:tcPr>
            <w:tcW w:type="dxa" w:w="1417"/>
            <w:shd w:val="clear" w:color="auto" w:fill="EDF1FA"/>
          </w:tcPr>
          <w:p>
            <w:r>
              <w:rPr>
                <w:sz w:val="19"/>
              </w:rPr>
              <w:t>Warning</w:t>
            </w:r>
          </w:p>
        </w:tc>
      </w:tr>
      <w:tr>
        <w:tc>
          <w:tcPr>
            <w:tcW w:type="dxa" w:w="2551"/>
            <w:shd w:val="clear" w:color="auto" w:fill="FFFFFF"/>
          </w:tcPr>
          <w:p>
            <w:r>
              <w:rPr>
                <w:sz w:val="19"/>
              </w:rPr>
              <w:t>PodCrashLooping</w:t>
            </w:r>
          </w:p>
        </w:tc>
        <w:tc>
          <w:tcPr>
            <w:tcW w:type="dxa" w:w="4535"/>
            <w:shd w:val="clear" w:color="auto" w:fill="FFFFFF"/>
          </w:tcPr>
          <w:p>
            <w:r>
              <w:rPr>
                <w:sz w:val="19"/>
              </w:rPr>
              <w:t>Pod restart count &gt; 3 in 10 minutes</w:t>
            </w:r>
          </w:p>
        </w:tc>
        <w:tc>
          <w:tcPr>
            <w:tcW w:type="dxa" w:w="1417"/>
            <w:shd w:val="clear" w:color="auto" w:fill="FFFFFF"/>
          </w:tcPr>
          <w:p>
            <w:r>
              <w:rPr>
                <w:sz w:val="19"/>
              </w:rPr>
              <w:t>Critical</w:t>
            </w:r>
          </w:p>
        </w:tc>
      </w:tr>
      <w:tr>
        <w:tc>
          <w:tcPr>
            <w:tcW w:type="dxa" w:w="2551"/>
            <w:shd w:val="clear" w:color="auto" w:fill="EDF1FA"/>
          </w:tcPr>
          <w:p>
            <w:r>
              <w:rPr>
                <w:sz w:val="19"/>
              </w:rPr>
              <w:t>LowDiskOnPostgres</w:t>
            </w:r>
          </w:p>
        </w:tc>
        <w:tc>
          <w:tcPr>
            <w:tcW w:type="dxa" w:w="4535"/>
            <w:shd w:val="clear" w:color="auto" w:fill="EDF1FA"/>
          </w:tcPr>
          <w:p>
            <w:r>
              <w:rPr>
                <w:sz w:val="19"/>
              </w:rPr>
              <w:t>PVC usage &gt; 80%</w:t>
            </w:r>
          </w:p>
        </w:tc>
        <w:tc>
          <w:tcPr>
            <w:tcW w:type="dxa" w:w="1417"/>
            <w:shd w:val="clear" w:color="auto" w:fill="EDF1FA"/>
          </w:tcPr>
          <w:p>
            <w:r>
              <w:rPr>
                <w:sz w:val="19"/>
              </w:rPr>
              <w:t>Warning</w:t>
            </w:r>
          </w:p>
        </w:tc>
      </w:tr>
      <w:tr>
        <w:tc>
          <w:tcPr>
            <w:tcW w:type="dxa" w:w="2551"/>
            <w:shd w:val="clear" w:color="auto" w:fill="FFFFFF"/>
          </w:tcPr>
          <w:p>
            <w:r>
              <w:rPr>
                <w:sz w:val="19"/>
              </w:rPr>
              <w:t>ServiceDown</w:t>
            </w:r>
          </w:p>
        </w:tc>
        <w:tc>
          <w:tcPr>
            <w:tcW w:type="dxa" w:w="4535"/>
            <w:shd w:val="clear" w:color="auto" w:fill="FFFFFF"/>
          </w:tcPr>
          <w:p>
            <w:r>
              <w:rPr>
                <w:sz w:val="19"/>
              </w:rPr>
              <w:t>Any target missing from Prometheus scrape for 2 minutes</w:t>
            </w:r>
          </w:p>
        </w:tc>
        <w:tc>
          <w:tcPr>
            <w:tcW w:type="dxa" w:w="1417"/>
            <w:shd w:val="clear" w:color="auto" w:fill="FFFFFF"/>
          </w:tcPr>
          <w:p>
            <w:r>
              <w:rPr>
                <w:sz w:val="19"/>
              </w:rPr>
              <w:t>Critical</w:t>
            </w:r>
          </w:p>
        </w:tc>
      </w:tr>
      <w:tr>
        <w:tc>
          <w:tcPr>
            <w:tcW w:type="dxa" w:w="2551"/>
            <w:shd w:val="clear" w:color="auto" w:fill="EDF1FA"/>
          </w:tcPr>
          <w:p>
            <w:r>
              <w:rPr>
                <w:sz w:val="19"/>
              </w:rPr>
              <w:t>HPAMaxReplicasReached</w:t>
            </w:r>
          </w:p>
        </w:tc>
        <w:tc>
          <w:tcPr>
            <w:tcW w:type="dxa" w:w="4535"/>
            <w:shd w:val="clear" w:color="auto" w:fill="EDF1FA"/>
          </w:tcPr>
          <w:p>
            <w:r>
              <w:rPr>
                <w:sz w:val="19"/>
              </w:rPr>
              <w:t>Transaction Service HPA at maximum replica count</w:t>
            </w:r>
          </w:p>
        </w:tc>
        <w:tc>
          <w:tcPr>
            <w:tcW w:type="dxa" w:w="1417"/>
            <w:shd w:val="clear" w:color="auto" w:fill="EDF1FA"/>
          </w:tcPr>
          <w:p>
            <w:r>
              <w:rPr>
                <w:sz w:val="19"/>
              </w:rPr>
              <w:t>Warning</w:t>
            </w:r>
          </w:p>
        </w:tc>
      </w:tr>
    </w:tbl>
    <w:p/>
    <w:p>
      <w:pPr>
        <w:spacing w:after="80"/>
        <w:ind w:left="0"/>
      </w:pPr>
      <w:r>
        <w:rPr>
          <w:b/>
          <w:i w:val="0"/>
          <w:color w:val="007AC9"/>
          <w:sz w:val="21"/>
        </w:rPr>
        <w:t>Runbooks</w:t>
      </w:r>
    </w:p>
    <w:p>
      <w:pPr>
        <w:spacing w:after="160"/>
        <w:ind w:left="0"/>
      </w:pPr>
      <w:r>
        <w:rPr>
          <w:b w:val="0"/>
          <w:i w:val="0"/>
          <w:sz w:val="21"/>
        </w:rPr>
        <w:t>For each Critical alert, write a short runbook (can be a markdown file in your repository) that answers: What does this alert mean? How do I confirm the problem? What are the first three steps to remediate it?</w:t>
      </w:r>
    </w:p>
    <w:p>
      <w:pPr>
        <w:spacing w:before="240" w:after="80"/>
        <w:jc w:val="left"/>
      </w:pPr>
      <w:r>
        <w:rPr>
          <w:b/>
          <w:color w:val="1A376E"/>
          <w:sz w:val="44"/>
        </w:rPr>
        <w:t>5. Deliverables</w:t>
      </w:r>
    </w:p>
    <w:p>
      <w:pPr>
        <w:pBdr>
          <w:bottom w:val="single" w:sz="6" w:space="1" w:color="1A376E"/>
        </w:pBdr>
        <w:spacing w:before="40" w:after="120"/>
      </w:pPr>
    </w:p>
    <w:p>
      <w:pPr>
        <w:spacing w:after="80"/>
        <w:ind w:left="0"/>
      </w:pPr>
      <w:r>
        <w:rPr>
          <w:b w:val="0"/>
          <w:i w:val="0"/>
          <w:sz w:val="21"/>
        </w:rPr>
        <w:t>Your submission must include all of the following:</w:t>
      </w:r>
    </w:p>
    <w:tbl>
      <w:tblPr>
        <w:tblStyle w:val="TableGrid"/>
        <w:tblW w:type="auto" w:w="0"/>
        <w:jc w:val="left"/>
        <w:tblLook w:firstColumn="1" w:firstRow="1" w:lastColumn="0" w:lastRow="0" w:noHBand="0" w:noVBand="1" w:val="04A0"/>
      </w:tblPr>
      <w:tblGrid>
        <w:gridCol w:w="3135"/>
        <w:gridCol w:w="3135"/>
        <w:gridCol w:w="3135"/>
      </w:tblGrid>
      <w:tr>
        <w:tc>
          <w:tcPr>
            <w:tcW w:type="dxa" w:w="454"/>
            <w:shd w:val="clear" w:color="auto" w:fill="1A376E"/>
          </w:tcPr>
          <w:p>
            <w:r>
              <w:rPr>
                <w:b/>
                <w:color w:val="FFFFFF"/>
                <w:sz w:val="19"/>
              </w:rPr>
              <w:t>#</w:t>
            </w:r>
          </w:p>
        </w:tc>
        <w:tc>
          <w:tcPr>
            <w:tcW w:type="dxa" w:w="5386"/>
            <w:shd w:val="clear" w:color="auto" w:fill="1A376E"/>
          </w:tcPr>
          <w:p>
            <w:r>
              <w:rPr>
                <w:b/>
                <w:color w:val="FFFFFF"/>
                <w:sz w:val="19"/>
              </w:rPr>
              <w:t>Deliverable</w:t>
            </w:r>
          </w:p>
        </w:tc>
        <w:tc>
          <w:tcPr>
            <w:tcW w:type="dxa" w:w="3118"/>
            <w:shd w:val="clear" w:color="auto" w:fill="1A376E"/>
          </w:tcPr>
          <w:p>
            <w:r>
              <w:rPr>
                <w:b/>
                <w:color w:val="FFFFFF"/>
                <w:sz w:val="19"/>
              </w:rPr>
              <w:t>Where to Submit</w:t>
            </w:r>
          </w:p>
        </w:tc>
      </w:tr>
      <w:tr>
        <w:tc>
          <w:tcPr>
            <w:tcW w:type="dxa" w:w="454"/>
            <w:shd w:val="clear" w:color="auto" w:fill="EDF1FA"/>
          </w:tcPr>
          <w:p>
            <w:r>
              <w:rPr>
                <w:sz w:val="19"/>
              </w:rPr>
              <w:t>1</w:t>
            </w:r>
          </w:p>
        </w:tc>
        <w:tc>
          <w:tcPr>
            <w:tcW w:type="dxa" w:w="5386"/>
            <w:shd w:val="clear" w:color="auto" w:fill="EDF1FA"/>
          </w:tcPr>
          <w:p>
            <w:r>
              <w:rPr>
                <w:sz w:val="19"/>
              </w:rPr>
              <w:t>Git repository containing all Kubernetes manifests or a Helm chart</w:t>
            </w:r>
          </w:p>
        </w:tc>
        <w:tc>
          <w:tcPr>
            <w:tcW w:type="dxa" w:w="3118"/>
            <w:shd w:val="clear" w:color="auto" w:fill="EDF1FA"/>
          </w:tcPr>
          <w:p>
            <w:r>
              <w:rPr>
                <w:sz w:val="19"/>
              </w:rPr>
              <w:t>GitHub / GitLab link</w:t>
            </w:r>
          </w:p>
        </w:tc>
      </w:tr>
      <w:tr>
        <w:tc>
          <w:tcPr>
            <w:tcW w:type="dxa" w:w="454"/>
            <w:shd w:val="clear" w:color="auto" w:fill="FFFFFF"/>
          </w:tcPr>
          <w:p>
            <w:r>
              <w:rPr>
                <w:sz w:val="19"/>
              </w:rPr>
              <w:t>2</w:t>
            </w:r>
          </w:p>
        </w:tc>
        <w:tc>
          <w:tcPr>
            <w:tcW w:type="dxa" w:w="5386"/>
            <w:shd w:val="clear" w:color="auto" w:fill="FFFFFF"/>
          </w:tcPr>
          <w:p>
            <w:r>
              <w:rPr>
                <w:sz w:val="19"/>
              </w:rPr>
              <w:t>Container images pushed to a registry with versioned tags</w:t>
            </w:r>
          </w:p>
        </w:tc>
        <w:tc>
          <w:tcPr>
            <w:tcW w:type="dxa" w:w="3118"/>
            <w:shd w:val="clear" w:color="auto" w:fill="FFFFFF"/>
          </w:tcPr>
          <w:p>
            <w:r>
              <w:rPr>
                <w:sz w:val="19"/>
              </w:rPr>
              <w:t>Registry URL in README</w:t>
            </w:r>
          </w:p>
        </w:tc>
      </w:tr>
      <w:tr>
        <w:tc>
          <w:tcPr>
            <w:tcW w:type="dxa" w:w="454"/>
            <w:shd w:val="clear" w:color="auto" w:fill="EDF1FA"/>
          </w:tcPr>
          <w:p>
            <w:r>
              <w:rPr>
                <w:sz w:val="19"/>
              </w:rPr>
              <w:t>3</w:t>
            </w:r>
          </w:p>
        </w:tc>
        <w:tc>
          <w:tcPr>
            <w:tcW w:type="dxa" w:w="5386"/>
            <w:shd w:val="clear" w:color="auto" w:fill="EDF1FA"/>
          </w:tcPr>
          <w:p>
            <w:r>
              <w:rPr>
                <w:sz w:val="19"/>
              </w:rPr>
              <w:t>Grafana Operations Overview dashboard (JSON export)</w:t>
            </w:r>
          </w:p>
        </w:tc>
        <w:tc>
          <w:tcPr>
            <w:tcW w:type="dxa" w:w="3118"/>
            <w:shd w:val="clear" w:color="auto" w:fill="EDF1FA"/>
          </w:tcPr>
          <w:p>
            <w:r>
              <w:rPr>
                <w:sz w:val="19"/>
              </w:rPr>
              <w:t>In repository under /dashboards/</w:t>
            </w:r>
          </w:p>
        </w:tc>
      </w:tr>
      <w:tr>
        <w:tc>
          <w:tcPr>
            <w:tcW w:type="dxa" w:w="454"/>
            <w:shd w:val="clear" w:color="auto" w:fill="FFFFFF"/>
          </w:tcPr>
          <w:p>
            <w:r>
              <w:rPr>
                <w:sz w:val="19"/>
              </w:rPr>
              <w:t>4</w:t>
            </w:r>
          </w:p>
        </w:tc>
        <w:tc>
          <w:tcPr>
            <w:tcW w:type="dxa" w:w="5386"/>
            <w:shd w:val="clear" w:color="auto" w:fill="FFFFFF"/>
          </w:tcPr>
          <w:p>
            <w:r>
              <w:rPr>
                <w:sz w:val="19"/>
              </w:rPr>
              <w:t>Grafana Business Metrics dashboard (JSON export)</w:t>
            </w:r>
          </w:p>
        </w:tc>
        <w:tc>
          <w:tcPr>
            <w:tcW w:type="dxa" w:w="3118"/>
            <w:shd w:val="clear" w:color="auto" w:fill="FFFFFF"/>
          </w:tcPr>
          <w:p>
            <w:r>
              <w:rPr>
                <w:sz w:val="19"/>
              </w:rPr>
              <w:t>In repository under /dashboards/</w:t>
            </w:r>
          </w:p>
        </w:tc>
      </w:tr>
      <w:tr>
        <w:tc>
          <w:tcPr>
            <w:tcW w:type="dxa" w:w="454"/>
            <w:shd w:val="clear" w:color="auto" w:fill="EDF1FA"/>
          </w:tcPr>
          <w:p>
            <w:r>
              <w:rPr>
                <w:sz w:val="19"/>
              </w:rPr>
              <w:t>5</w:t>
            </w:r>
          </w:p>
        </w:tc>
        <w:tc>
          <w:tcPr>
            <w:tcW w:type="dxa" w:w="5386"/>
            <w:shd w:val="clear" w:color="auto" w:fill="EDF1FA"/>
          </w:tcPr>
          <w:p>
            <w:r>
              <w:rPr>
                <w:sz w:val="19"/>
              </w:rPr>
              <w:t>PrometheusRule or Grafana alert definitions</w:t>
            </w:r>
          </w:p>
        </w:tc>
        <w:tc>
          <w:tcPr>
            <w:tcW w:type="dxa" w:w="3118"/>
            <w:shd w:val="clear" w:color="auto" w:fill="EDF1FA"/>
          </w:tcPr>
          <w:p>
            <w:r>
              <w:rPr>
                <w:sz w:val="19"/>
              </w:rPr>
              <w:t>In repository under /alerts/</w:t>
            </w:r>
          </w:p>
        </w:tc>
      </w:tr>
      <w:tr>
        <w:tc>
          <w:tcPr>
            <w:tcW w:type="dxa" w:w="454"/>
            <w:shd w:val="clear" w:color="auto" w:fill="FFFFFF"/>
          </w:tcPr>
          <w:p>
            <w:r>
              <w:rPr>
                <w:sz w:val="19"/>
              </w:rPr>
              <w:t>6</w:t>
            </w:r>
          </w:p>
        </w:tc>
        <w:tc>
          <w:tcPr>
            <w:tcW w:type="dxa" w:w="5386"/>
            <w:shd w:val="clear" w:color="auto" w:fill="FFFFFF"/>
          </w:tcPr>
          <w:p>
            <w:r>
              <w:rPr>
                <w:sz w:val="19"/>
              </w:rPr>
              <w:t>Runbooks for each Critical alert (Markdown)</w:t>
            </w:r>
          </w:p>
        </w:tc>
        <w:tc>
          <w:tcPr>
            <w:tcW w:type="dxa" w:w="3118"/>
            <w:shd w:val="clear" w:color="auto" w:fill="FFFFFF"/>
          </w:tcPr>
          <w:p>
            <w:r>
              <w:rPr>
                <w:sz w:val="19"/>
              </w:rPr>
              <w:t>In repository under /runbooks/</w:t>
            </w:r>
          </w:p>
        </w:tc>
      </w:tr>
      <w:tr>
        <w:tc>
          <w:tcPr>
            <w:tcW w:type="dxa" w:w="454"/>
            <w:shd w:val="clear" w:color="auto" w:fill="EDF1FA"/>
          </w:tcPr>
          <w:p>
            <w:r>
              <w:rPr>
                <w:sz w:val="19"/>
              </w:rPr>
              <w:t>7</w:t>
            </w:r>
          </w:p>
        </w:tc>
        <w:tc>
          <w:tcPr>
            <w:tcW w:type="dxa" w:w="5386"/>
            <w:shd w:val="clear" w:color="auto" w:fill="EDF1FA"/>
          </w:tcPr>
          <w:p>
            <w:r>
              <w:rPr>
                <w:sz w:val="19"/>
              </w:rPr>
              <w:t>Screenshot evidence — Grafana dashboards with live data, alerts firing/resolving</w:t>
            </w:r>
          </w:p>
        </w:tc>
        <w:tc>
          <w:tcPr>
            <w:tcW w:type="dxa" w:w="3118"/>
            <w:shd w:val="clear" w:color="auto" w:fill="EDF1FA"/>
          </w:tcPr>
          <w:p>
            <w:r>
              <w:rPr>
                <w:sz w:val="19"/>
              </w:rPr>
              <w:t>In repository under /screenshots/</w:t>
            </w:r>
          </w:p>
        </w:tc>
      </w:tr>
      <w:tr>
        <w:tc>
          <w:tcPr>
            <w:tcW w:type="dxa" w:w="454"/>
            <w:shd w:val="clear" w:color="auto" w:fill="FFFFFF"/>
          </w:tcPr>
          <w:p>
            <w:r>
              <w:rPr>
                <w:sz w:val="19"/>
              </w:rPr>
              <w:t>8</w:t>
            </w:r>
          </w:p>
        </w:tc>
        <w:tc>
          <w:tcPr>
            <w:tcW w:type="dxa" w:w="5386"/>
            <w:shd w:val="clear" w:color="auto" w:fill="FFFFFF"/>
          </w:tcPr>
          <w:p>
            <w:r>
              <w:rPr>
                <w:sz w:val="19"/>
              </w:rPr>
              <w:t>README explaining: cluster setup steps, how to deploy, how to access dashboards</w:t>
            </w:r>
          </w:p>
        </w:tc>
        <w:tc>
          <w:tcPr>
            <w:tcW w:type="dxa" w:w="3118"/>
            <w:shd w:val="clear" w:color="auto" w:fill="FFFFFF"/>
          </w:tcPr>
          <w:p>
            <w:r>
              <w:rPr>
                <w:sz w:val="19"/>
              </w:rPr>
              <w:t>Root of repository</w:t>
            </w:r>
          </w:p>
        </w:tc>
      </w:tr>
      <w:tr>
        <w:tc>
          <w:tcPr>
            <w:tcW w:type="dxa" w:w="454"/>
            <w:shd w:val="clear" w:color="auto" w:fill="EDF1FA"/>
          </w:tcPr>
          <w:p>
            <w:r>
              <w:rPr>
                <w:sz w:val="19"/>
              </w:rPr>
              <w:t>9</w:t>
            </w:r>
          </w:p>
        </w:tc>
        <w:tc>
          <w:tcPr>
            <w:tcW w:type="dxa" w:w="5386"/>
            <w:shd w:val="clear" w:color="auto" w:fill="EDF1FA"/>
          </w:tcPr>
          <w:p>
            <w:r>
              <w:rPr>
                <w:sz w:val="19"/>
              </w:rPr>
              <w:t>Short demo video (3–5 minutes) — walkthrough of the running platform</w:t>
            </w:r>
          </w:p>
        </w:tc>
        <w:tc>
          <w:tcPr>
            <w:tcW w:type="dxa" w:w="3118"/>
            <w:shd w:val="clear" w:color="auto" w:fill="EDF1FA"/>
          </w:tcPr>
          <w:p>
            <w:r>
              <w:rPr>
                <w:sz w:val="19"/>
              </w:rPr>
              <w:t>Link in README</w:t>
            </w:r>
          </w:p>
        </w:tc>
      </w:tr>
    </w:tbl>
    <w:p/>
    <w:p>
      <w:pPr>
        <w:spacing w:before="240" w:after="80"/>
        <w:jc w:val="left"/>
      </w:pPr>
      <w:r>
        <w:rPr>
          <w:b/>
          <w:color w:val="1A376E"/>
          <w:sz w:val="44"/>
        </w:rPr>
        <w:t>6. Assessment Criteria</w:t>
      </w:r>
    </w:p>
    <w:p>
      <w:pPr>
        <w:pBdr>
          <w:bottom w:val="single" w:sz="6" w:space="1" w:color="1A376E"/>
        </w:pBdr>
        <w:spacing w:before="40" w:after="120"/>
      </w:pPr>
    </w:p>
    <w:tbl>
      <w:tblPr>
        <w:tblStyle w:val="TableGrid"/>
        <w:tblW w:type="auto" w:w="0"/>
        <w:jc w:val="left"/>
        <w:tblLook w:firstColumn="1" w:firstRow="1" w:lastColumn="0" w:lastRow="0" w:noHBand="0" w:noVBand="1" w:val="04A0"/>
      </w:tblPr>
      <w:tblGrid>
        <w:gridCol w:w="3135"/>
        <w:gridCol w:w="3135"/>
        <w:gridCol w:w="3135"/>
      </w:tblGrid>
      <w:tr>
        <w:tc>
          <w:tcPr>
            <w:tcW w:type="dxa" w:w="3118"/>
            <w:shd w:val="clear" w:color="auto" w:fill="1A376E"/>
          </w:tcPr>
          <w:p>
            <w:r>
              <w:rPr>
                <w:b/>
                <w:color w:val="FFFFFF"/>
                <w:sz w:val="19"/>
              </w:rPr>
              <w:t>Area</w:t>
            </w:r>
          </w:p>
        </w:tc>
        <w:tc>
          <w:tcPr>
            <w:tcW w:type="dxa" w:w="850"/>
            <w:shd w:val="clear" w:color="auto" w:fill="1A376E"/>
          </w:tcPr>
          <w:p>
            <w:r>
              <w:rPr>
                <w:b/>
                <w:color w:val="FFFFFF"/>
                <w:sz w:val="19"/>
              </w:rPr>
              <w:t>Weight</w:t>
            </w:r>
          </w:p>
        </w:tc>
        <w:tc>
          <w:tcPr>
            <w:tcW w:type="dxa" w:w="5386"/>
            <w:shd w:val="clear" w:color="auto" w:fill="1A376E"/>
          </w:tcPr>
          <w:p>
            <w:r>
              <w:rPr>
                <w:b/>
                <w:color w:val="FFFFFF"/>
                <w:sz w:val="19"/>
              </w:rPr>
              <w:t>What Is Assessed</w:t>
            </w:r>
          </w:p>
        </w:tc>
      </w:tr>
      <w:tr>
        <w:tc>
          <w:tcPr>
            <w:tcW w:type="dxa" w:w="3118"/>
            <w:shd w:val="clear" w:color="auto" w:fill="EDF1FA"/>
          </w:tcPr>
          <w:p>
            <w:r>
              <w:rPr>
                <w:sz w:val="19"/>
              </w:rPr>
              <w:t>Kubernetes Deployment</w:t>
            </w:r>
          </w:p>
        </w:tc>
        <w:tc>
          <w:tcPr>
            <w:tcW w:type="dxa" w:w="850"/>
            <w:shd w:val="clear" w:color="auto" w:fill="EDF1FA"/>
          </w:tcPr>
          <w:p>
            <w:r>
              <w:rPr>
                <w:sz w:val="19"/>
              </w:rPr>
              <w:t>35%</w:t>
            </w:r>
          </w:p>
        </w:tc>
        <w:tc>
          <w:tcPr>
            <w:tcW w:type="dxa" w:w="5386"/>
            <w:shd w:val="clear" w:color="auto" w:fill="EDF1FA"/>
          </w:tcPr>
          <w:p>
            <w:r>
              <w:rPr>
                <w:sz w:val="19"/>
              </w:rPr>
              <w:t>Correctness of manifests; use of Secrets/ConfigMaps; probes; HPA; PVCs; Ingress routing</w:t>
            </w:r>
          </w:p>
        </w:tc>
      </w:tr>
      <w:tr>
        <w:tc>
          <w:tcPr>
            <w:tcW w:type="dxa" w:w="3118"/>
            <w:shd w:val="clear" w:color="auto" w:fill="FFFFFF"/>
          </w:tcPr>
          <w:p>
            <w:r>
              <w:rPr>
                <w:sz w:val="19"/>
              </w:rPr>
              <w:t>Observability — Metrics</w:t>
            </w:r>
          </w:p>
        </w:tc>
        <w:tc>
          <w:tcPr>
            <w:tcW w:type="dxa" w:w="850"/>
            <w:shd w:val="clear" w:color="auto" w:fill="FFFFFF"/>
          </w:tcPr>
          <w:p>
            <w:r>
              <w:rPr>
                <w:sz w:val="19"/>
              </w:rPr>
              <w:t>20%</w:t>
            </w:r>
          </w:p>
        </w:tc>
        <w:tc>
          <w:tcPr>
            <w:tcW w:type="dxa" w:w="5386"/>
            <w:shd w:val="clear" w:color="auto" w:fill="FFFFFF"/>
          </w:tcPr>
          <w:p>
            <w:r>
              <w:rPr>
                <w:sz w:val="19"/>
              </w:rPr>
              <w:t>Prometheus scrape config; custom metrics; useful PromQL queries</w:t>
            </w:r>
          </w:p>
        </w:tc>
      </w:tr>
      <w:tr>
        <w:tc>
          <w:tcPr>
            <w:tcW w:type="dxa" w:w="3118"/>
            <w:shd w:val="clear" w:color="auto" w:fill="EDF1FA"/>
          </w:tcPr>
          <w:p>
            <w:r>
              <w:rPr>
                <w:sz w:val="19"/>
              </w:rPr>
              <w:t>Observability — Dashboards</w:t>
            </w:r>
          </w:p>
        </w:tc>
        <w:tc>
          <w:tcPr>
            <w:tcW w:type="dxa" w:w="850"/>
            <w:shd w:val="clear" w:color="auto" w:fill="EDF1FA"/>
          </w:tcPr>
          <w:p>
            <w:r>
              <w:rPr>
                <w:sz w:val="19"/>
              </w:rPr>
              <w:t>15%</w:t>
            </w:r>
          </w:p>
        </w:tc>
        <w:tc>
          <w:tcPr>
            <w:tcW w:type="dxa" w:w="5386"/>
            <w:shd w:val="clear" w:color="auto" w:fill="EDF1FA"/>
          </w:tcPr>
          <w:p>
            <w:r>
              <w:rPr>
                <w:sz w:val="19"/>
              </w:rPr>
              <w:t>Grafana dashboard quality; coverage of ops and business KPIs</w:t>
            </w:r>
          </w:p>
        </w:tc>
      </w:tr>
      <w:tr>
        <w:tc>
          <w:tcPr>
            <w:tcW w:type="dxa" w:w="3118"/>
            <w:shd w:val="clear" w:color="auto" w:fill="FFFFFF"/>
          </w:tcPr>
          <w:p>
            <w:r>
              <w:rPr>
                <w:sz w:val="19"/>
              </w:rPr>
              <w:t>Alerting &amp; Runbooks</w:t>
            </w:r>
          </w:p>
        </w:tc>
        <w:tc>
          <w:tcPr>
            <w:tcW w:type="dxa" w:w="850"/>
            <w:shd w:val="clear" w:color="auto" w:fill="FFFFFF"/>
          </w:tcPr>
          <w:p>
            <w:r>
              <w:rPr>
                <w:sz w:val="19"/>
              </w:rPr>
              <w:t>15%</w:t>
            </w:r>
          </w:p>
        </w:tc>
        <w:tc>
          <w:tcPr>
            <w:tcW w:type="dxa" w:w="5386"/>
            <w:shd w:val="clear" w:color="auto" w:fill="FFFFFF"/>
          </w:tcPr>
          <w:p>
            <w:r>
              <w:rPr>
                <w:sz w:val="19"/>
              </w:rPr>
              <w:t>Alert correctness; notification routing; runbook quality and practicality</w:t>
            </w:r>
          </w:p>
        </w:tc>
      </w:tr>
      <w:tr>
        <w:tc>
          <w:tcPr>
            <w:tcW w:type="dxa" w:w="3118"/>
            <w:shd w:val="clear" w:color="auto" w:fill="EDF1FA"/>
          </w:tcPr>
          <w:p>
            <w:r>
              <w:rPr>
                <w:sz w:val="19"/>
              </w:rPr>
              <w:t>Image &amp; Security Hygiene</w:t>
            </w:r>
          </w:p>
        </w:tc>
        <w:tc>
          <w:tcPr>
            <w:tcW w:type="dxa" w:w="850"/>
            <w:shd w:val="clear" w:color="auto" w:fill="EDF1FA"/>
          </w:tcPr>
          <w:p>
            <w:r>
              <w:rPr>
                <w:sz w:val="19"/>
              </w:rPr>
              <w:t>10%</w:t>
            </w:r>
          </w:p>
        </w:tc>
        <w:tc>
          <w:tcPr>
            <w:tcW w:type="dxa" w:w="5386"/>
            <w:shd w:val="clear" w:color="auto" w:fill="EDF1FA"/>
          </w:tcPr>
          <w:p>
            <w:r>
              <w:rPr>
                <w:sz w:val="19"/>
              </w:rPr>
              <w:t>Versioned tags; CVE scan evidence; no secrets in manifests</w:t>
            </w:r>
          </w:p>
        </w:tc>
      </w:tr>
      <w:tr>
        <w:tc>
          <w:tcPr>
            <w:tcW w:type="dxa" w:w="3118"/>
            <w:shd w:val="clear" w:color="auto" w:fill="FFFFFF"/>
          </w:tcPr>
          <w:p>
            <w:r>
              <w:rPr>
                <w:sz w:val="19"/>
              </w:rPr>
              <w:t>Documentation &amp; Demo</w:t>
            </w:r>
          </w:p>
        </w:tc>
        <w:tc>
          <w:tcPr>
            <w:tcW w:type="dxa" w:w="850"/>
            <w:shd w:val="clear" w:color="auto" w:fill="FFFFFF"/>
          </w:tcPr>
          <w:p>
            <w:r>
              <w:rPr>
                <w:sz w:val="19"/>
              </w:rPr>
              <w:t>5%</w:t>
            </w:r>
          </w:p>
        </w:tc>
        <w:tc>
          <w:tcPr>
            <w:tcW w:type="dxa" w:w="5386"/>
            <w:shd w:val="clear" w:color="auto" w:fill="FFFFFF"/>
          </w:tcPr>
          <w:p>
            <w:r>
              <w:rPr>
                <w:sz w:val="19"/>
              </w:rPr>
              <w:t>README clarity; demo video walkthrough</w:t>
            </w:r>
          </w:p>
        </w:tc>
      </w:tr>
    </w:tbl>
    <w:p/>
    <w:p>
      <w:pPr>
        <w:spacing w:before="240" w:after="80"/>
        <w:jc w:val="left"/>
      </w:pPr>
      <w:r>
        <w:rPr>
          <w:b/>
          <w:color w:val="1A376E"/>
          <w:sz w:val="44"/>
        </w:rPr>
        <w:t>7. Recommended Tooling</w:t>
      </w:r>
    </w:p>
    <w:p>
      <w:pPr>
        <w:pBdr>
          <w:bottom w:val="single" w:sz="6" w:space="1" w:color="1A376E"/>
        </w:pBdr>
        <w:spacing w:before="40" w:after="120"/>
      </w:pPr>
    </w:p>
    <w:p>
      <w:pPr>
        <w:spacing w:after="80"/>
        <w:ind w:left="0"/>
      </w:pPr>
      <w:r>
        <w:rPr>
          <w:b w:val="0"/>
          <w:i w:val="0"/>
          <w:sz w:val="21"/>
        </w:rPr>
        <w:t>You are free to choose your own tooling. The following are well-tested choices that align with the objectives:</w:t>
      </w:r>
    </w:p>
    <w:tbl>
      <w:tblPr>
        <w:tblStyle w:val="TableGrid"/>
        <w:tblW w:type="auto" w:w="0"/>
        <w:jc w:val="left"/>
        <w:tblLook w:firstColumn="1" w:firstRow="1" w:lastColumn="0" w:lastRow="0" w:noHBand="0" w:noVBand="1" w:val="04A0"/>
      </w:tblPr>
      <w:tblGrid>
        <w:gridCol w:w="4703"/>
        <w:gridCol w:w="4703"/>
      </w:tblGrid>
      <w:tr>
        <w:tc>
          <w:tcPr>
            <w:tcW w:type="dxa" w:w="2268"/>
            <w:shd w:val="clear" w:color="auto" w:fill="1A376E"/>
          </w:tcPr>
          <w:p>
            <w:r>
              <w:rPr>
                <w:b/>
                <w:color w:val="FFFFFF"/>
                <w:sz w:val="19"/>
              </w:rPr>
              <w:t>Category</w:t>
            </w:r>
          </w:p>
        </w:tc>
        <w:tc>
          <w:tcPr>
            <w:tcW w:type="dxa" w:w="7087"/>
            <w:shd w:val="clear" w:color="auto" w:fill="1A376E"/>
          </w:tcPr>
          <w:p>
            <w:r>
              <w:rPr>
                <w:b/>
                <w:color w:val="FFFFFF"/>
                <w:sz w:val="19"/>
              </w:rPr>
              <w:t>Recommended Tool(s)</w:t>
            </w:r>
          </w:p>
        </w:tc>
      </w:tr>
      <w:tr>
        <w:tc>
          <w:tcPr>
            <w:tcW w:type="dxa" w:w="2268"/>
            <w:shd w:val="clear" w:color="auto" w:fill="EDF1FA"/>
          </w:tcPr>
          <w:p>
            <w:r>
              <w:rPr>
                <w:sz w:val="19"/>
              </w:rPr>
              <w:t>Kubernetes cluster</w:t>
            </w:r>
          </w:p>
        </w:tc>
        <w:tc>
          <w:tcPr>
            <w:tcW w:type="dxa" w:w="7087"/>
            <w:shd w:val="clear" w:color="auto" w:fill="EDF1FA"/>
          </w:tcPr>
          <w:p>
            <w:r>
              <w:rPr>
                <w:sz w:val="19"/>
              </w:rPr>
              <w:t>AWS EKS / GKE / AKS  or  kind / minikube (for local demo)</w:t>
            </w:r>
          </w:p>
        </w:tc>
      </w:tr>
      <w:tr>
        <w:tc>
          <w:tcPr>
            <w:tcW w:type="dxa" w:w="2268"/>
            <w:shd w:val="clear" w:color="auto" w:fill="FFFFFF"/>
          </w:tcPr>
          <w:p>
            <w:r>
              <w:rPr>
                <w:sz w:val="19"/>
              </w:rPr>
              <w:t>Helm package manager</w:t>
            </w:r>
          </w:p>
        </w:tc>
        <w:tc>
          <w:tcPr>
            <w:tcW w:type="dxa" w:w="7087"/>
            <w:shd w:val="clear" w:color="auto" w:fill="FFFFFF"/>
          </w:tcPr>
          <w:p>
            <w:r>
              <w:rPr>
                <w:sz w:val="19"/>
              </w:rPr>
              <w:t>Helm 3</w:t>
            </w:r>
          </w:p>
        </w:tc>
      </w:tr>
      <w:tr>
        <w:tc>
          <w:tcPr>
            <w:tcW w:type="dxa" w:w="2268"/>
            <w:shd w:val="clear" w:color="auto" w:fill="EDF1FA"/>
          </w:tcPr>
          <w:p>
            <w:r>
              <w:rPr>
                <w:sz w:val="19"/>
              </w:rPr>
              <w:t>Metrics</w:t>
            </w:r>
          </w:p>
        </w:tc>
        <w:tc>
          <w:tcPr>
            <w:tcW w:type="dxa" w:w="7087"/>
            <w:shd w:val="clear" w:color="auto" w:fill="EDF1FA"/>
          </w:tcPr>
          <w:p>
            <w:r>
              <w:rPr>
                <w:sz w:val="19"/>
              </w:rPr>
              <w:t>Prometheus + kube-prometheus-stack Helm chart</w:t>
            </w:r>
          </w:p>
        </w:tc>
      </w:tr>
      <w:tr>
        <w:tc>
          <w:tcPr>
            <w:tcW w:type="dxa" w:w="2268"/>
            <w:shd w:val="clear" w:color="auto" w:fill="FFFFFF"/>
          </w:tcPr>
          <w:p>
            <w:r>
              <w:rPr>
                <w:sz w:val="19"/>
              </w:rPr>
              <w:t>Dashboards</w:t>
            </w:r>
          </w:p>
        </w:tc>
        <w:tc>
          <w:tcPr>
            <w:tcW w:type="dxa" w:w="7087"/>
            <w:shd w:val="clear" w:color="auto" w:fill="FFFFFF"/>
          </w:tcPr>
          <w:p>
            <w:r>
              <w:rPr>
                <w:sz w:val="19"/>
              </w:rPr>
              <w:t>Grafana (bundled in kube-prometheus-stack)</w:t>
            </w:r>
          </w:p>
        </w:tc>
      </w:tr>
      <w:tr>
        <w:tc>
          <w:tcPr>
            <w:tcW w:type="dxa" w:w="2268"/>
            <w:shd w:val="clear" w:color="auto" w:fill="EDF1FA"/>
          </w:tcPr>
          <w:p>
            <w:r>
              <w:rPr>
                <w:sz w:val="19"/>
              </w:rPr>
              <w:t>Logging</w:t>
            </w:r>
          </w:p>
        </w:tc>
        <w:tc>
          <w:tcPr>
            <w:tcW w:type="dxa" w:w="7087"/>
            <w:shd w:val="clear" w:color="auto" w:fill="EDF1FA"/>
          </w:tcPr>
          <w:p>
            <w:r>
              <w:rPr>
                <w:sz w:val="19"/>
              </w:rPr>
              <w:t>Grafana Loki + Promtail  or  EFK (Elasticsearch + Fluentd + Kibana)</w:t>
            </w:r>
          </w:p>
        </w:tc>
      </w:tr>
      <w:tr>
        <w:tc>
          <w:tcPr>
            <w:tcW w:type="dxa" w:w="2268"/>
            <w:shd w:val="clear" w:color="auto" w:fill="FFFFFF"/>
          </w:tcPr>
          <w:p>
            <w:r>
              <w:rPr>
                <w:sz w:val="19"/>
              </w:rPr>
              <w:t>Tracing (stretch)</w:t>
            </w:r>
          </w:p>
        </w:tc>
        <w:tc>
          <w:tcPr>
            <w:tcW w:type="dxa" w:w="7087"/>
            <w:shd w:val="clear" w:color="auto" w:fill="FFFFFF"/>
          </w:tcPr>
          <w:p>
            <w:r>
              <w:rPr>
                <w:sz w:val="19"/>
              </w:rPr>
              <w:t>Jaeger  or  Grafana Tempo</w:t>
            </w:r>
          </w:p>
        </w:tc>
      </w:tr>
      <w:tr>
        <w:tc>
          <w:tcPr>
            <w:tcW w:type="dxa" w:w="2268"/>
            <w:shd w:val="clear" w:color="auto" w:fill="EDF1FA"/>
          </w:tcPr>
          <w:p>
            <w:r>
              <w:rPr>
                <w:sz w:val="19"/>
              </w:rPr>
              <w:t>Ingress controller</w:t>
            </w:r>
          </w:p>
        </w:tc>
        <w:tc>
          <w:tcPr>
            <w:tcW w:type="dxa" w:w="7087"/>
            <w:shd w:val="clear" w:color="auto" w:fill="EDF1FA"/>
          </w:tcPr>
          <w:p>
            <w:r>
              <w:rPr>
                <w:sz w:val="19"/>
              </w:rPr>
              <w:t>NGINX Ingress Controller  or  AWS ALB Ingress Controller</w:t>
            </w:r>
          </w:p>
        </w:tc>
      </w:tr>
      <w:tr>
        <w:tc>
          <w:tcPr>
            <w:tcW w:type="dxa" w:w="2268"/>
            <w:shd w:val="clear" w:color="auto" w:fill="FFFFFF"/>
          </w:tcPr>
          <w:p>
            <w:r>
              <w:rPr>
                <w:sz w:val="19"/>
              </w:rPr>
              <w:t>Image scanning</w:t>
            </w:r>
          </w:p>
        </w:tc>
        <w:tc>
          <w:tcPr>
            <w:tcW w:type="dxa" w:w="7087"/>
            <w:shd w:val="clear" w:color="auto" w:fill="FFFFFF"/>
          </w:tcPr>
          <w:p>
            <w:r>
              <w:rPr>
                <w:sz w:val="19"/>
              </w:rPr>
              <w:t>Trivy (trivy image &lt;name&gt;)</w:t>
            </w:r>
          </w:p>
        </w:tc>
      </w:tr>
      <w:tr>
        <w:tc>
          <w:tcPr>
            <w:tcW w:type="dxa" w:w="2268"/>
            <w:shd w:val="clear" w:color="auto" w:fill="EDF1FA"/>
          </w:tcPr>
          <w:p>
            <w:r>
              <w:rPr>
                <w:sz w:val="19"/>
              </w:rPr>
              <w:t>Secret management</w:t>
            </w:r>
          </w:p>
        </w:tc>
        <w:tc>
          <w:tcPr>
            <w:tcW w:type="dxa" w:w="7087"/>
            <w:shd w:val="clear" w:color="auto" w:fill="EDF1FA"/>
          </w:tcPr>
          <w:p>
            <w:r>
              <w:rPr>
                <w:sz w:val="19"/>
              </w:rPr>
              <w:t>Kubernetes Secrets  or  HashiCorp Vault / AWS Secrets Manager</w:t>
            </w:r>
          </w:p>
        </w:tc>
      </w:tr>
      <w:tr>
        <w:tc>
          <w:tcPr>
            <w:tcW w:type="dxa" w:w="2268"/>
            <w:shd w:val="clear" w:color="auto" w:fill="FFFFFF"/>
          </w:tcPr>
          <w:p>
            <w:r>
              <w:rPr>
                <w:sz w:val="19"/>
              </w:rPr>
              <w:t>Notification channel</w:t>
            </w:r>
          </w:p>
        </w:tc>
        <w:tc>
          <w:tcPr>
            <w:tcW w:type="dxa" w:w="7087"/>
            <w:shd w:val="clear" w:color="auto" w:fill="FFFFFF"/>
          </w:tcPr>
          <w:p>
            <w:r>
              <w:rPr>
                <w:sz w:val="19"/>
              </w:rPr>
              <w:t>Slack webhook  or  PagerDuty  or  email via Alertmanager</w:t>
            </w:r>
          </w:p>
        </w:tc>
      </w:tr>
    </w:tbl>
    <w:p/>
    <w:p>
      <w:pPr>
        <w:spacing w:before="240" w:after="80"/>
        <w:jc w:val="left"/>
      </w:pPr>
      <w:r>
        <w:rPr>
          <w:b/>
          <w:color w:val="1A376E"/>
          <w:sz w:val="44"/>
        </w:rPr>
        <w:t>8. Tips &amp; Guidance</w:t>
      </w:r>
    </w:p>
    <w:p>
      <w:pPr>
        <w:pBdr>
          <w:bottom w:val="single" w:sz="6" w:space="1" w:color="1A376E"/>
        </w:pBdr>
        <w:spacing w:before="40" w:after="120"/>
      </w:pPr>
    </w:p>
    <w:p>
      <w:pPr>
        <w:spacing w:after="120"/>
        <w:ind w:left="0"/>
      </w:pPr>
      <w:r>
        <w:rPr>
          <w:b w:val="0"/>
          <w:i w:val="0"/>
          <w:sz w:val="21"/>
        </w:rPr>
        <w:t>Keep these principles in mind as you work through the project:</w:t>
      </w:r>
    </w:p>
    <w:p>
      <w:pPr>
        <w:pStyle w:val="ListBullet"/>
        <w:spacing w:after="80"/>
        <w:ind w:left="283"/>
      </w:pPr>
      <w:r>
        <w:rPr>
          <w:b/>
          <w:sz w:val="21"/>
        </w:rPr>
        <w:t xml:space="preserve">Start with a working local Docker Compose. </w:t>
      </w:r>
      <w:r>
        <w:rPr>
          <w:sz w:val="21"/>
        </w:rPr>
        <w:t>The application is already fully functional with docker compose up --build. Understand how the services talk to each other before translating to Kubernetes.</w:t>
      </w:r>
    </w:p>
    <w:p>
      <w:pPr>
        <w:pStyle w:val="ListBullet"/>
        <w:spacing w:after="80"/>
        <w:ind w:left="283"/>
      </w:pPr>
      <w:r>
        <w:rPr>
          <w:b/>
          <w:sz w:val="21"/>
        </w:rPr>
        <w:t xml:space="preserve">Deploy infrastructure first. </w:t>
      </w:r>
      <w:r>
        <w:rPr>
          <w:sz w:val="21"/>
        </w:rPr>
        <w:t>Get PostgreSQL, Redis, and Kafka running and healthy in Kubernetes before deploying the application services. The app services will fail to start without them.</w:t>
      </w:r>
    </w:p>
    <w:p>
      <w:pPr>
        <w:pStyle w:val="ListBullet"/>
        <w:spacing w:after="80"/>
        <w:ind w:left="283"/>
      </w:pPr>
      <w:r>
        <w:rPr>
          <w:b/>
          <w:sz w:val="21"/>
        </w:rPr>
        <w:t xml:space="preserve">Use readiness probes religiously. </w:t>
      </w:r>
      <w:r>
        <w:rPr>
          <w:sz w:val="21"/>
        </w:rPr>
        <w:t>Kafka and Zookeeper take time to become ready. Without proper readiness probes your app pods will crash-loop on startup. Use initContainers or probe delays to handle ordering.</w:t>
      </w:r>
    </w:p>
    <w:p>
      <w:pPr>
        <w:pStyle w:val="ListBullet"/>
        <w:spacing w:after="80"/>
        <w:ind w:left="283"/>
      </w:pPr>
      <w:r>
        <w:rPr>
          <w:b/>
          <w:sz w:val="21"/>
        </w:rPr>
        <w:t xml:space="preserve">CORS is critical. </w:t>
      </w:r>
      <w:r>
        <w:rPr>
          <w:sz w:val="21"/>
        </w:rPr>
        <w:t>The frontend makes direct HTTP calls to three different backend ports. When fronted by an Ingress, ensure path-based routing is configured correctly and CORS origins are updated to match the Ingress hostname.</w:t>
      </w:r>
    </w:p>
    <w:p>
      <w:pPr>
        <w:pStyle w:val="ListBullet"/>
        <w:spacing w:after="80"/>
        <w:ind w:left="283"/>
      </w:pPr>
      <w:r>
        <w:rPr>
          <w:b/>
          <w:sz w:val="21"/>
        </w:rPr>
        <w:t xml:space="preserve">Environment variables, not hard-coded URLs. </w:t>
      </w:r>
      <w:r>
        <w:rPr>
          <w:sz w:val="21"/>
        </w:rPr>
        <w:t>The frontend API base URLs are currently hard-coded to localhost. You will need to rebuild the frontend image with the correct cluster URLs, or serve them via a runtime-injected environment variable / ConfigMap.</w:t>
      </w:r>
    </w:p>
    <w:p>
      <w:pPr>
        <w:pStyle w:val="ListBullet"/>
        <w:spacing w:after="80"/>
        <w:ind w:left="283"/>
      </w:pPr>
      <w:r>
        <w:rPr>
          <w:b/>
          <w:sz w:val="21"/>
        </w:rPr>
        <w:t xml:space="preserve">Label everything consistently. </w:t>
      </w:r>
      <w:r>
        <w:rPr>
          <w:sz w:val="21"/>
        </w:rPr>
        <w:t>Use a consistent labelling scheme (app, tier, version, environment) across all manifests — Prometheus service discovery, network policies, and HPA all rely on labels.</w:t>
      </w:r>
    </w:p>
    <w:p>
      <w:pPr>
        <w:pStyle w:val="ListBullet"/>
        <w:spacing w:after="80"/>
        <w:ind w:left="283"/>
      </w:pPr>
      <w:r>
        <w:rPr>
          <w:b/>
          <w:sz w:val="21"/>
        </w:rPr>
        <w:t xml:space="preserve">Test your alerts before submitting. </w:t>
      </w:r>
      <w:r>
        <w:rPr>
          <w:sz w:val="21"/>
        </w:rPr>
        <w:t>Deliberately cause a condition (e.g. scale a deployment to 0 or induce a 500 error) and verify the alert fires and a notification is received.</w:t>
      </w:r>
    </w:p>
    <w:p/>
    <w:p>
      <w:pPr>
        <w:spacing w:before="240" w:after="80"/>
        <w:jc w:val="left"/>
      </w:pPr>
      <w:r>
        <w:rPr>
          <w:b/>
          <w:color w:val="1A376E"/>
          <w:sz w:val="44"/>
        </w:rPr>
        <w:t>9. A Note from Your Instructor</w:t>
      </w:r>
    </w:p>
    <w:p>
      <w:pPr>
        <w:pBdr>
          <w:bottom w:val="single" w:sz="6" w:space="1" w:color="1A376E"/>
        </w:pBdr>
        <w:spacing w:before="40" w:after="120"/>
      </w:pPr>
    </w:p>
    <w:p>
      <w:pPr>
        <w:spacing w:after="120"/>
        <w:ind w:left="0"/>
      </w:pPr>
      <w:r>
        <w:rPr>
          <w:b w:val="0"/>
          <w:i w:val="0"/>
          <w:sz w:val="21"/>
        </w:rPr>
        <w:t>This Capstone is deliberately open-ended. There is no single correct solution — real DevOps engineering is about informed decisions, trade-offs, and clear communication of those choices. What matters is not which tools you pick, but whether you can justify them, deploy them correctly, and demonstrate that the system is observable and resilient.</w:t>
      </w:r>
    </w:p>
    <w:p>
      <w:pPr>
        <w:spacing w:after="120"/>
        <w:ind w:left="0"/>
      </w:pPr>
      <w:r>
        <w:rPr>
          <w:b w:val="0"/>
          <w:i w:val="0"/>
          <w:sz w:val="21"/>
        </w:rPr>
        <w:t>You are expected to hit obstacles. The application was built to behave like a real system does — with timing dependencies, configuration nuance, and inter-service coupling. Work through them methodically: read the logs, query Prometheus, check Kubernetes events. That is exactly what you will do on the job.</w:t>
      </w:r>
    </w:p>
    <w:p>
      <w:pPr>
        <w:spacing w:after="240"/>
        <w:ind w:left="0"/>
      </w:pPr>
      <w:r>
        <w:rPr>
          <w:b/>
          <w:i w:val="0"/>
          <w:sz w:val="21"/>
        </w:rPr>
        <w:t>Good luck. Build something you would be proud to hand over to an on-call engineer at 2 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