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1364" w14:textId="17A2E5D4" w:rsidR="00500FA6" w:rsidRDefault="005D5FA6" w:rsidP="005D5FA6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Trabajo </w:t>
      </w:r>
    </w:p>
    <w:p w14:paraId="5F57AD89" w14:textId="1E4DA4F3" w:rsidR="005D5FA6" w:rsidRDefault="004B2E89" w:rsidP="005D5FA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Estadísticos</w:t>
      </w:r>
    </w:p>
    <w:p w14:paraId="3E9A9653" w14:textId="4B85C5D1" w:rsidR="004B2E89" w:rsidRDefault="004B2E89" w:rsidP="004B2E89">
      <w:pPr>
        <w:pStyle w:val="Prrafodelista"/>
        <w:jc w:val="both"/>
        <w:rPr>
          <w:lang w:val="es-CO"/>
        </w:rPr>
      </w:pPr>
    </w:p>
    <w:tbl>
      <w:tblPr>
        <w:tblW w:w="3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1209"/>
        <w:gridCol w:w="1424"/>
      </w:tblGrid>
      <w:tr w:rsidR="004B2E89" w:rsidRPr="004B2E89" w14:paraId="6683B2B7" w14:textId="77777777" w:rsidTr="004B2E89">
        <w:trPr>
          <w:trHeight w:val="288"/>
          <w:jc w:val="center"/>
        </w:trPr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B5474" w14:textId="77777777" w:rsidR="004B2E89" w:rsidRPr="004B2E89" w:rsidRDefault="004B2E89" w:rsidP="004B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Estadístico según estrato </w:t>
            </w:r>
          </w:p>
        </w:tc>
      </w:tr>
      <w:tr w:rsidR="004B2E89" w:rsidRPr="004B2E89" w14:paraId="43CD1F61" w14:textId="77777777" w:rsidTr="004B2E89">
        <w:trPr>
          <w:trHeight w:val="288"/>
          <w:jc w:val="center"/>
        </w:trPr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C08BF" w14:textId="77777777" w:rsidR="004B2E89" w:rsidRPr="004B2E89" w:rsidRDefault="004B2E89" w:rsidP="004B2E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8614C" w14:textId="77777777" w:rsidR="004B2E89" w:rsidRPr="004B2E89" w:rsidRDefault="004B2E89" w:rsidP="004B2E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99F9C" w14:textId="77777777" w:rsidR="004B2E89" w:rsidRPr="004B2E89" w:rsidRDefault="004B2E89" w:rsidP="004B2E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Desviación </w:t>
            </w:r>
          </w:p>
        </w:tc>
      </w:tr>
      <w:tr w:rsidR="004B2E89" w:rsidRPr="004B2E89" w14:paraId="65D78EA2" w14:textId="77777777" w:rsidTr="004B2E89">
        <w:trPr>
          <w:trHeight w:val="288"/>
          <w:jc w:val="center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A1E2" w14:textId="77777777" w:rsidR="004B2E89" w:rsidRPr="004B2E89" w:rsidRDefault="004B2E89" w:rsidP="004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Estrato 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262E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116,78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8CB4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45,39</w:t>
            </w:r>
          </w:p>
        </w:tc>
      </w:tr>
      <w:tr w:rsidR="004B2E89" w:rsidRPr="004B2E89" w14:paraId="567D255A" w14:textId="77777777" w:rsidTr="004B2E89">
        <w:trPr>
          <w:trHeight w:val="288"/>
          <w:jc w:val="center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D45D" w14:textId="77777777" w:rsidR="004B2E89" w:rsidRPr="004B2E89" w:rsidRDefault="004B2E89" w:rsidP="004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Estrato 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C2C3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245,27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778C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54,548581</w:t>
            </w:r>
          </w:p>
        </w:tc>
      </w:tr>
      <w:tr w:rsidR="004B2E89" w:rsidRPr="004B2E89" w14:paraId="2132467A" w14:textId="77777777" w:rsidTr="004B2E89">
        <w:trPr>
          <w:trHeight w:val="288"/>
          <w:jc w:val="center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D254" w14:textId="77777777" w:rsidR="004B2E89" w:rsidRPr="004B2E89" w:rsidRDefault="004B2E89" w:rsidP="004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Estrato 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91D2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771,75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ECB2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190,091496</w:t>
            </w:r>
          </w:p>
        </w:tc>
      </w:tr>
      <w:tr w:rsidR="004B2E89" w:rsidRPr="004B2E89" w14:paraId="7B0B17A5" w14:textId="77777777" w:rsidTr="004B2E89">
        <w:trPr>
          <w:trHeight w:val="288"/>
          <w:jc w:val="center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79AF" w14:textId="77777777" w:rsidR="004B2E89" w:rsidRPr="004B2E89" w:rsidRDefault="004B2E89" w:rsidP="004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Estrato 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ED5C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1675,60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EADE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332,041658</w:t>
            </w:r>
          </w:p>
        </w:tc>
      </w:tr>
      <w:tr w:rsidR="004B2E89" w:rsidRPr="004B2E89" w14:paraId="067BBA15" w14:textId="77777777" w:rsidTr="004B2E89">
        <w:trPr>
          <w:trHeight w:val="288"/>
          <w:jc w:val="center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FC57" w14:textId="77777777" w:rsidR="004B2E89" w:rsidRPr="004B2E89" w:rsidRDefault="004B2E89" w:rsidP="004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Estrato 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88ED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2169,18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8E32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443,702573</w:t>
            </w:r>
          </w:p>
        </w:tc>
      </w:tr>
      <w:tr w:rsidR="004B2E89" w:rsidRPr="004B2E89" w14:paraId="53980202" w14:textId="77777777" w:rsidTr="004B2E89">
        <w:trPr>
          <w:trHeight w:val="288"/>
          <w:jc w:val="center"/>
        </w:trPr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E7EA7" w14:textId="77777777" w:rsidR="004B2E89" w:rsidRPr="004B2E89" w:rsidRDefault="004B2E89" w:rsidP="004B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Estrato 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D9EBF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3421,65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FBC4F" w14:textId="77777777" w:rsidR="004B2E89" w:rsidRPr="004B2E89" w:rsidRDefault="004B2E89" w:rsidP="004B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4B2E8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815,560139</w:t>
            </w:r>
          </w:p>
        </w:tc>
      </w:tr>
    </w:tbl>
    <w:p w14:paraId="6602D0B2" w14:textId="23BDC995" w:rsidR="004B2E89" w:rsidRDefault="004B2E89" w:rsidP="004B2E89">
      <w:pPr>
        <w:pStyle w:val="Prrafodelista"/>
        <w:jc w:val="both"/>
        <w:rPr>
          <w:lang w:val="es-CO"/>
        </w:rPr>
      </w:pPr>
    </w:p>
    <w:p w14:paraId="42EB21A9" w14:textId="00F1AD9E" w:rsidR="004B2E89" w:rsidRDefault="004B2E89" w:rsidP="004B2E89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estrato con mayor valor promedio de VMATRI es el estrato 6, y el de menor es el estrato 1. A mayor es el estrato mayor el VMATRI. Ahora bien, así como aumenta el promedio, incrementa la variabilidad entre los datos. Es decir, a mayor estrato mayor es la distancia entre los datos a la media según el estrato. Para el estrato 6 la variabilidad es la de mayor valor respecto a los demás estratos. </w:t>
      </w:r>
    </w:p>
    <w:p w14:paraId="529E445D" w14:textId="1CB185F2" w:rsidR="004B2E89" w:rsidRDefault="004B2E89" w:rsidP="004B2E89">
      <w:pPr>
        <w:pStyle w:val="Prrafodelista"/>
        <w:jc w:val="both"/>
        <w:rPr>
          <w:lang w:val="es-CO"/>
        </w:rPr>
      </w:pPr>
    </w:p>
    <w:p w14:paraId="616C51E7" w14:textId="6E2E7F1C" w:rsidR="004B2E89" w:rsidRDefault="004B2E89" w:rsidP="004B2E89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Se tomará las medias poblacionales de VMATRI, para realizar la prueba de hipótesis. </w:t>
      </w:r>
    </w:p>
    <w:p w14:paraId="3CB34E81" w14:textId="45D78F6B" w:rsidR="004B2E89" w:rsidRDefault="004B2E89" w:rsidP="004B2E89">
      <w:pPr>
        <w:pStyle w:val="Prrafodelista"/>
        <w:jc w:val="both"/>
        <w:rPr>
          <w:lang w:val="es-CO"/>
        </w:rPr>
      </w:pPr>
    </w:p>
    <w:p w14:paraId="79A5CC91" w14:textId="08CF37C8" w:rsidR="004B2E89" w:rsidRDefault="004B2E89" w:rsidP="004B2E89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Se calculan los estadísticos de resumen. </w:t>
      </w:r>
    </w:p>
    <w:p w14:paraId="109BA8A2" w14:textId="3EA11270" w:rsidR="004B2E89" w:rsidRDefault="004B2E89" w:rsidP="004B2E89">
      <w:pPr>
        <w:pStyle w:val="Prrafodelista"/>
        <w:jc w:val="both"/>
        <w:rPr>
          <w:lang w:val="es-CO"/>
        </w:rPr>
      </w:pPr>
    </w:p>
    <w:tbl>
      <w:tblPr>
        <w:tblW w:w="4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494"/>
        <w:gridCol w:w="1645"/>
        <w:gridCol w:w="590"/>
      </w:tblGrid>
      <w:tr w:rsidR="00FE2CD7" w:rsidRPr="00FE2CD7" w14:paraId="7E4CFC6E" w14:textId="77777777" w:rsidTr="00FE2CD7">
        <w:trPr>
          <w:trHeight w:val="288"/>
          <w:jc w:val="center"/>
        </w:trPr>
        <w:tc>
          <w:tcPr>
            <w:tcW w:w="4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344A" w14:textId="77777777" w:rsidR="00FE2CD7" w:rsidRPr="00FE2CD7" w:rsidRDefault="00FE2CD7" w:rsidP="00FE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Estadístico según estrato </w:t>
            </w:r>
          </w:p>
        </w:tc>
      </w:tr>
      <w:tr w:rsidR="00FE2CD7" w:rsidRPr="00FE2CD7" w14:paraId="33166C43" w14:textId="77777777" w:rsidTr="00FE2CD7">
        <w:trPr>
          <w:trHeight w:val="288"/>
          <w:jc w:val="center"/>
        </w:trPr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D0A69" w14:textId="77777777" w:rsidR="00FE2CD7" w:rsidRPr="00FE2CD7" w:rsidRDefault="00FE2CD7" w:rsidP="00FE2C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54120" w14:textId="77777777" w:rsidR="00FE2CD7" w:rsidRPr="00FE2CD7" w:rsidRDefault="00FE2CD7" w:rsidP="00FE2C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04072" w14:textId="77777777" w:rsidR="00FE2CD7" w:rsidRPr="00FE2CD7" w:rsidRDefault="00FE2CD7" w:rsidP="00FE2C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Desviación 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50466" w14:textId="77777777" w:rsidR="00FE2CD7" w:rsidRPr="00FE2CD7" w:rsidRDefault="00FE2CD7" w:rsidP="00FE2C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n</w:t>
            </w:r>
          </w:p>
        </w:tc>
      </w:tr>
      <w:tr w:rsidR="00FE2CD7" w:rsidRPr="00FE2CD7" w14:paraId="09711D3F" w14:textId="77777777" w:rsidTr="00FE2CD7">
        <w:trPr>
          <w:trHeight w:val="288"/>
          <w:jc w:val="center"/>
        </w:trPr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0A72" w14:textId="77777777" w:rsidR="00FE2CD7" w:rsidRPr="00FE2CD7" w:rsidRDefault="00FE2CD7" w:rsidP="00FE2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Mujer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BBE4" w14:textId="77777777" w:rsidR="00FE2CD7" w:rsidRPr="00FE2CD7" w:rsidRDefault="00FE2CD7" w:rsidP="00FE2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1158,28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D2B3" w14:textId="77777777" w:rsidR="00FE2CD7" w:rsidRPr="00FE2CD7" w:rsidRDefault="00FE2CD7" w:rsidP="00FE2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810,80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F1B1" w14:textId="77777777" w:rsidR="00FE2CD7" w:rsidRPr="00FE2CD7" w:rsidRDefault="00FE2CD7" w:rsidP="00FE2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126</w:t>
            </w:r>
          </w:p>
        </w:tc>
      </w:tr>
      <w:tr w:rsidR="00FE2CD7" w:rsidRPr="00FE2CD7" w14:paraId="729A90A2" w14:textId="77777777" w:rsidTr="00FE2CD7">
        <w:trPr>
          <w:trHeight w:val="288"/>
          <w:jc w:val="center"/>
        </w:trPr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BCCC" w14:textId="77777777" w:rsidR="00FE2CD7" w:rsidRPr="00FE2CD7" w:rsidRDefault="00FE2CD7" w:rsidP="00FE2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Hombre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6BFD1" w14:textId="77777777" w:rsidR="00FE2CD7" w:rsidRPr="00FE2CD7" w:rsidRDefault="00FE2CD7" w:rsidP="00FE2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1013,63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9895F" w14:textId="77777777" w:rsidR="00FE2CD7" w:rsidRPr="00FE2CD7" w:rsidRDefault="00FE2CD7" w:rsidP="00FE2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878,28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7D02F" w14:textId="77777777" w:rsidR="00FE2CD7" w:rsidRPr="00FE2CD7" w:rsidRDefault="00FE2CD7" w:rsidP="00FE2C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FE2CD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74</w:t>
            </w:r>
          </w:p>
        </w:tc>
      </w:tr>
    </w:tbl>
    <w:p w14:paraId="444D2662" w14:textId="19D2EB4A" w:rsidR="004B2E89" w:rsidRDefault="004B2E89" w:rsidP="004B2E89">
      <w:pPr>
        <w:pStyle w:val="Prrafodelista"/>
        <w:jc w:val="both"/>
        <w:rPr>
          <w:lang w:val="es-CO"/>
        </w:rPr>
      </w:pPr>
    </w:p>
    <w:p w14:paraId="4B9929BC" w14:textId="3B55D7E5" w:rsidR="00FE2CD7" w:rsidRDefault="00FE2CD7" w:rsidP="004B2E89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Para hacer el contraste de medias es necesario, hacer el contraste de varianzas iguales de esta forma tenemos que: </w:t>
      </w:r>
    </w:p>
    <w:p w14:paraId="67485277" w14:textId="5C909D1C" w:rsidR="00FE2CD7" w:rsidRDefault="00FE2CD7" w:rsidP="004B2E89">
      <w:pPr>
        <w:pStyle w:val="Prrafodelista"/>
        <w:jc w:val="both"/>
        <w:rPr>
          <w:lang w:val="es-CO"/>
        </w:rPr>
      </w:pPr>
    </w:p>
    <w:p w14:paraId="32E81B02" w14:textId="477302CE" w:rsidR="00FE2CD7" w:rsidRPr="00FE2CD7" w:rsidRDefault="00FE2CD7" w:rsidP="004B2E89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: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s-CO"/>
            </w:rPr>
            <m:t>=1</m:t>
          </m:r>
        </m:oMath>
      </m:oMathPara>
    </w:p>
    <w:p w14:paraId="223F6EDB" w14:textId="768C8F1D" w:rsidR="00FE2CD7" w:rsidRDefault="00FE2CD7" w:rsidP="004B2E89">
      <w:pPr>
        <w:pStyle w:val="Prrafodelista"/>
        <w:jc w:val="both"/>
        <w:rPr>
          <w:rFonts w:eastAsiaTheme="minorEastAsia"/>
          <w:lang w:val="es-CO"/>
        </w:rPr>
      </w:pPr>
    </w:p>
    <w:p w14:paraId="0B64A6CB" w14:textId="4A5A2B66" w:rsidR="00FE2CD7" w:rsidRPr="00FE2CD7" w:rsidRDefault="00FE2CD7" w:rsidP="00FE2CD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: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s-CO"/>
            </w:rPr>
            <m:t>≠</m:t>
          </m:r>
          <m:r>
            <w:rPr>
              <w:rFonts w:ascii="Cambria Math" w:hAnsi="Cambria Math"/>
              <w:lang w:val="es-CO"/>
            </w:rPr>
            <m:t>1</m:t>
          </m:r>
        </m:oMath>
      </m:oMathPara>
    </w:p>
    <w:p w14:paraId="003FC87E" w14:textId="29FB347C" w:rsidR="00FE2CD7" w:rsidRDefault="00FE2CD7" w:rsidP="00FE2CD7">
      <w:pPr>
        <w:pStyle w:val="Prrafodelista"/>
        <w:jc w:val="both"/>
        <w:rPr>
          <w:rFonts w:eastAsiaTheme="minorEastAsia"/>
          <w:lang w:val="es-CO"/>
        </w:rPr>
      </w:pPr>
    </w:p>
    <w:p w14:paraId="2519410E" w14:textId="05EF81FA" w:rsidR="00FE2CD7" w:rsidRDefault="00FE2CD7" w:rsidP="00FE2CD7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Ahora, el estadístico de prueba será: </w:t>
      </w:r>
    </w:p>
    <w:p w14:paraId="5059FCF5" w14:textId="274A1221" w:rsidR="00FE2CD7" w:rsidRDefault="00FE2CD7" w:rsidP="00FE2CD7">
      <w:pPr>
        <w:pStyle w:val="Prrafodelista"/>
        <w:jc w:val="both"/>
        <w:rPr>
          <w:rFonts w:eastAsiaTheme="minorEastAsia"/>
          <w:lang w:val="es-CO"/>
        </w:rPr>
      </w:pPr>
    </w:p>
    <w:p w14:paraId="5FA64EA2" w14:textId="79C22D1A" w:rsidR="00FE2CD7" w:rsidRPr="00FE2CD7" w:rsidRDefault="00FE2CD7" w:rsidP="00FE2CD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=0.8522</m:t>
          </m:r>
        </m:oMath>
      </m:oMathPara>
    </w:p>
    <w:p w14:paraId="2949429F" w14:textId="7A8D911E" w:rsidR="00FE2CD7" w:rsidRDefault="00FE2CD7" w:rsidP="00FE2CD7">
      <w:pPr>
        <w:pStyle w:val="Prrafodelista"/>
        <w:jc w:val="both"/>
        <w:rPr>
          <w:rFonts w:eastAsiaTheme="minorEastAsia"/>
          <w:lang w:val="es-CO"/>
        </w:rPr>
      </w:pPr>
    </w:p>
    <w:p w14:paraId="2405376B" w14:textId="389C19DE" w:rsidR="00FE2CD7" w:rsidRDefault="00FE2CD7" w:rsidP="00FE2CD7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Con valor critico de </w:t>
      </w:r>
      <m:oMath>
        <m:r>
          <w:rPr>
            <w:rFonts w:ascii="Cambria Math" w:eastAsiaTheme="minorEastAsia" w:hAnsi="Cambria Math"/>
            <w:lang w:val="es-C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0.01,126,74</m:t>
            </m:r>
          </m:e>
        </m:d>
        <m:r>
          <w:rPr>
            <w:rFonts w:ascii="Cambria Math" w:eastAsiaTheme="minorEastAsia" w:hAnsi="Cambria Math"/>
            <w:lang w:val="es-CO"/>
          </w:rPr>
          <m:t>=0.59</m:t>
        </m:r>
      </m:oMath>
      <w:r w:rsidR="004C48BF">
        <w:rPr>
          <w:rFonts w:eastAsiaTheme="minorEastAsia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0.01,126,74</m:t>
            </m:r>
          </m:e>
        </m:d>
        <m:r>
          <w:rPr>
            <w:rFonts w:ascii="Cambria Math" w:eastAsiaTheme="minorEastAsia" w:hAnsi="Cambria Math"/>
            <w:lang w:val="es-CO"/>
          </w:rPr>
          <m:t>=</m:t>
        </m:r>
        <m:r>
          <w:rPr>
            <w:rFonts w:ascii="Cambria Math" w:eastAsiaTheme="minorEastAsia" w:hAnsi="Cambria Math"/>
            <w:lang w:val="es-CO"/>
          </w:rPr>
          <m:t>1.75</m:t>
        </m:r>
      </m:oMath>
      <w:r w:rsidR="004C48BF">
        <w:rPr>
          <w:rFonts w:eastAsiaTheme="minorEastAsia"/>
          <w:lang w:val="es-CO"/>
        </w:rPr>
        <w:t xml:space="preserve">. Como el valor del estadístico de rechazo no cae en la región de rechazo. Las varianzas son iguales. </w:t>
      </w:r>
    </w:p>
    <w:p w14:paraId="57992447" w14:textId="29118E56" w:rsidR="004C48BF" w:rsidRDefault="004C48BF" w:rsidP="00FE2CD7">
      <w:pPr>
        <w:pStyle w:val="Prrafodelista"/>
        <w:jc w:val="both"/>
        <w:rPr>
          <w:rFonts w:eastAsiaTheme="minorEastAsia"/>
          <w:lang w:val="es-CO"/>
        </w:rPr>
      </w:pPr>
    </w:p>
    <w:p w14:paraId="218E4B37" w14:textId="00B759E8" w:rsidR="004C48BF" w:rsidRDefault="004C48BF" w:rsidP="00FE2CD7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 xml:space="preserve">Luego, tenemos el siguiente contraste de hipótesis </w:t>
      </w:r>
    </w:p>
    <w:p w14:paraId="1500BCE0" w14:textId="585A9B91" w:rsidR="004C48BF" w:rsidRDefault="004C48BF" w:rsidP="00FE2CD7">
      <w:pPr>
        <w:pStyle w:val="Prrafodelista"/>
        <w:jc w:val="both"/>
        <w:rPr>
          <w:rFonts w:eastAsiaTheme="minorEastAsia"/>
          <w:lang w:val="es-CO"/>
        </w:rPr>
      </w:pPr>
    </w:p>
    <w:p w14:paraId="270EE5E0" w14:textId="55508E20" w:rsidR="004C48BF" w:rsidRPr="004C48BF" w:rsidRDefault="004C48BF" w:rsidP="00FE2CD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μ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μ</m:t>
              </m:r>
            </m:e>
            <m:sub>
              <m:r>
                <w:rPr>
                  <w:rFonts w:ascii="Cambria Math" w:hAnsi="Cambria Math"/>
                  <w:lang w:val="es-CO"/>
                </w:rPr>
                <m:t>H</m:t>
              </m:r>
            </m:sub>
          </m:sSub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E694A87" w14:textId="785CDBE8" w:rsidR="004C48BF" w:rsidRDefault="004C48BF" w:rsidP="00FE2CD7">
      <w:pPr>
        <w:pStyle w:val="Prrafodelista"/>
        <w:jc w:val="both"/>
        <w:rPr>
          <w:rFonts w:eastAsiaTheme="minorEastAsia"/>
          <w:lang w:val="es-CO"/>
        </w:rPr>
      </w:pPr>
    </w:p>
    <w:p w14:paraId="02B055D6" w14:textId="6F5533AB" w:rsidR="004C48BF" w:rsidRPr="004C48BF" w:rsidRDefault="004C48BF" w:rsidP="004C48B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μ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μ</m:t>
              </m:r>
            </m:e>
            <m:sub>
              <m:r>
                <w:rPr>
                  <w:rFonts w:ascii="Cambria Math" w:hAnsi="Cambria Math"/>
                  <w:lang w:val="es-CO"/>
                </w:rPr>
                <m:t>H</m:t>
              </m:r>
            </m:sub>
          </m:sSub>
          <m:r>
            <w:rPr>
              <w:rFonts w:ascii="Cambria Math" w:hAnsi="Cambria Math"/>
              <w:lang w:val="es-CO"/>
            </w:rPr>
            <m:t>≠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32AC2201" w14:textId="10A15602" w:rsidR="004C48BF" w:rsidRDefault="004C48BF" w:rsidP="004C48BF">
      <w:pPr>
        <w:pStyle w:val="Prrafodelista"/>
        <w:jc w:val="both"/>
        <w:rPr>
          <w:rFonts w:eastAsiaTheme="minorEastAsia"/>
          <w:lang w:val="es-CO"/>
        </w:rPr>
      </w:pPr>
    </w:p>
    <w:p w14:paraId="186D55CF" w14:textId="047F875A" w:rsidR="004C48BF" w:rsidRDefault="004C48BF" w:rsidP="004C48BF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Donde, el estadístico de prueba es: </w:t>
      </w:r>
    </w:p>
    <w:p w14:paraId="2B782BBD" w14:textId="3C32B34C" w:rsidR="004C48BF" w:rsidRDefault="004C48BF" w:rsidP="004C48BF">
      <w:pPr>
        <w:pStyle w:val="Prrafodelista"/>
        <w:jc w:val="both"/>
        <w:rPr>
          <w:rFonts w:eastAsiaTheme="minorEastAsia"/>
          <w:lang w:val="es-CO"/>
        </w:rPr>
      </w:pPr>
    </w:p>
    <w:p w14:paraId="001548F3" w14:textId="01F9764B" w:rsidR="004C48BF" w:rsidRPr="004C48BF" w:rsidRDefault="004C48BF" w:rsidP="004C48B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=836.312</m:t>
          </m:r>
        </m:oMath>
      </m:oMathPara>
    </w:p>
    <w:p w14:paraId="53AF04D8" w14:textId="77777777" w:rsidR="004C48BF" w:rsidRPr="004C48BF" w:rsidRDefault="004C48BF" w:rsidP="004C48BF">
      <w:pPr>
        <w:pStyle w:val="Prrafodelista"/>
        <w:jc w:val="both"/>
        <w:rPr>
          <w:rFonts w:eastAsiaTheme="minorEastAsia"/>
          <w:lang w:val="es-CO"/>
        </w:rPr>
      </w:pPr>
    </w:p>
    <w:p w14:paraId="7FC9C86D" w14:textId="7B1B0032" w:rsidR="004C48BF" w:rsidRDefault="004C48BF" w:rsidP="004C48BF">
      <w:pPr>
        <w:pStyle w:val="Prrafodelista"/>
        <w:jc w:val="both"/>
        <w:rPr>
          <w:rFonts w:eastAsiaTheme="minorEastAsia"/>
          <w:lang w:val="es-CO"/>
        </w:rPr>
      </w:pPr>
    </w:p>
    <w:p w14:paraId="55E36F14" w14:textId="7DBDD51B" w:rsidR="004C48BF" w:rsidRPr="004C48BF" w:rsidRDefault="004C48BF" w:rsidP="004C48B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144.65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122.48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=1,181</m:t>
          </m:r>
        </m:oMath>
      </m:oMathPara>
    </w:p>
    <w:p w14:paraId="76A57B18" w14:textId="45704586" w:rsidR="004C48BF" w:rsidRDefault="004C48BF" w:rsidP="004C48BF">
      <w:pPr>
        <w:pStyle w:val="Prrafodelista"/>
        <w:jc w:val="both"/>
        <w:rPr>
          <w:lang w:val="es-CO"/>
        </w:rPr>
      </w:pPr>
    </w:p>
    <w:p w14:paraId="7F27FE9E" w14:textId="0C44AA6C" w:rsidR="004C48BF" w:rsidRDefault="004C48BF" w:rsidP="004C48BF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Con valores críticos 2.601 y -2.601. Por tanto, tenemos que el estadístico de prueba no cae en la región de rechazo. Por tanto, la media entre hombres y mujeres son iguales. </w:t>
      </w:r>
    </w:p>
    <w:p w14:paraId="414ABA84" w14:textId="6AE22627" w:rsidR="004C48BF" w:rsidRDefault="004C48BF" w:rsidP="004C48BF">
      <w:pPr>
        <w:pStyle w:val="Prrafodelista"/>
        <w:jc w:val="both"/>
        <w:rPr>
          <w:lang w:val="es-CO"/>
        </w:rPr>
      </w:pPr>
    </w:p>
    <w:p w14:paraId="00DE9BF6" w14:textId="0784C5DE" w:rsidR="004C48BF" w:rsidRDefault="004C48BF" w:rsidP="004C48BF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Tenemos que el intervalo de confianza es </w:t>
      </w:r>
    </w:p>
    <w:p w14:paraId="0BA78D66" w14:textId="35E83AED" w:rsidR="004C48BF" w:rsidRDefault="004C48BF" w:rsidP="004C48BF">
      <w:pPr>
        <w:pStyle w:val="Prrafodelista"/>
        <w:jc w:val="both"/>
        <w:rPr>
          <w:lang w:val="es-CO"/>
        </w:rPr>
      </w:pPr>
    </w:p>
    <w:p w14:paraId="29296AC5" w14:textId="25674E44" w:rsidR="004C48BF" w:rsidRPr="004C48BF" w:rsidRDefault="004C48BF" w:rsidP="004C48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144.65±2.601⋅122.48</m:t>
          </m:r>
        </m:oMath>
      </m:oMathPara>
    </w:p>
    <w:p w14:paraId="07324DAA" w14:textId="2FDA26C2" w:rsidR="004C48BF" w:rsidRDefault="004C48BF" w:rsidP="004C48BF">
      <w:pPr>
        <w:pStyle w:val="Prrafodelista"/>
        <w:jc w:val="both"/>
        <w:rPr>
          <w:rFonts w:eastAsiaTheme="minorEastAsia"/>
          <w:lang w:val="es-CO"/>
        </w:rPr>
      </w:pPr>
    </w:p>
    <w:p w14:paraId="5F0DBC90" w14:textId="77777777" w:rsidR="004C48BF" w:rsidRPr="004C48BF" w:rsidRDefault="004C48BF" w:rsidP="004C48BF">
      <w:pPr>
        <w:pStyle w:val="Prrafodelista"/>
        <w:jc w:val="both"/>
        <w:rPr>
          <w:rFonts w:eastAsiaTheme="minorEastAsia"/>
        </w:rPr>
      </w:pPr>
    </w:p>
    <w:p w14:paraId="1D6D3C55" w14:textId="173665C9" w:rsidR="004C48BF" w:rsidRPr="005D5FA6" w:rsidRDefault="004C48BF" w:rsidP="00FE2CD7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144.65±</m:t>
          </m:r>
          <m:r>
            <w:rPr>
              <w:rFonts w:ascii="Cambria Math" w:hAnsi="Cambria Math"/>
              <w:lang w:val="es-CO"/>
            </w:rPr>
            <m:t>318.57</m:t>
          </m:r>
        </m:oMath>
      </m:oMathPara>
    </w:p>
    <w:p w14:paraId="095B3749" w14:textId="1CEB9901" w:rsidR="00FE2CD7" w:rsidRDefault="00FE2CD7" w:rsidP="004B2E89">
      <w:pPr>
        <w:pStyle w:val="Prrafodelista"/>
        <w:jc w:val="both"/>
        <w:rPr>
          <w:lang w:val="es-CO"/>
        </w:rPr>
      </w:pPr>
    </w:p>
    <w:p w14:paraId="15596BB2" w14:textId="5A3538EE" w:rsidR="004C48BF" w:rsidRDefault="004C48BF" w:rsidP="004B2E89">
      <w:pPr>
        <w:pStyle w:val="Prrafodelista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Obteniendo el Intervalo de confianza de 99%,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-173.92,463.22</m:t>
            </m:r>
          </m:e>
        </m:d>
        <m:r>
          <w:rPr>
            <w:rFonts w:ascii="Cambria Math" w:hAnsi="Cambria Math"/>
            <w:lang w:val="es-CO"/>
          </w:rPr>
          <m:t xml:space="preserve">. </m:t>
        </m:r>
      </m:oMath>
      <w:r>
        <w:rPr>
          <w:rFonts w:eastAsiaTheme="minorEastAsia"/>
          <w:lang w:val="es-CO"/>
        </w:rPr>
        <w:t xml:space="preserve">Como el intervalo contiene el cero. Las medias son iguales. Pues su resta puede ser cero. </w:t>
      </w:r>
    </w:p>
    <w:p w14:paraId="46D5E0A5" w14:textId="16180025" w:rsidR="004C48BF" w:rsidRDefault="004C48BF" w:rsidP="004B2E89">
      <w:pPr>
        <w:pStyle w:val="Prrafodelista"/>
        <w:jc w:val="both"/>
        <w:rPr>
          <w:rFonts w:eastAsiaTheme="minorEastAsia"/>
          <w:lang w:val="es-CO"/>
        </w:rPr>
      </w:pPr>
    </w:p>
    <w:p w14:paraId="181061CE" w14:textId="0154D3E0" w:rsidR="000E6242" w:rsidRPr="000E6242" w:rsidRDefault="004C48BF" w:rsidP="000E624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rFonts w:eastAsiaTheme="minorEastAsia"/>
          <w:lang w:val="es-CO"/>
        </w:rPr>
        <w:t xml:space="preserve">Para calcular el valor </w:t>
      </w:r>
      <w:r w:rsidR="000E6242">
        <w:rPr>
          <w:rFonts w:eastAsiaTheme="minorEastAsia"/>
          <w:lang w:val="es-CO"/>
        </w:rPr>
        <w:t>que debería tener un estudiante para estar dentro de los mejores promedios. Debemos calcular el valor del percentil 95.</w:t>
      </w:r>
    </w:p>
    <w:p w14:paraId="28354456" w14:textId="65B7AD39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p w14:paraId="527D4CE8" w14:textId="733551A7" w:rsidR="000E6242" w:rsidRP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95</m:t>
              </m:r>
            </m:sub>
          </m:sSub>
          <m:r>
            <w:rPr>
              <w:rFonts w:ascii="Cambria Math" w:hAnsi="Cambria Math"/>
              <w:lang w:val="es-CO"/>
            </w:rPr>
            <m:t>=4.3</m:t>
          </m:r>
        </m:oMath>
      </m:oMathPara>
    </w:p>
    <w:p w14:paraId="5F8A7A8A" w14:textId="34745829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p w14:paraId="6E66E918" w14:textId="25A32C09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Un estudiante debe obtener mínimo 4.3 para estar dentro del 5% de los mejores estudiantes.</w:t>
      </w:r>
    </w:p>
    <w:p w14:paraId="7FDD170E" w14:textId="5FCA605B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p w14:paraId="5B41AB1E" w14:textId="1A10CF4A" w:rsidR="000E6242" w:rsidRDefault="000E6242" w:rsidP="000E6242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De forma similar, es necesario calcular el percentil 25</w:t>
      </w:r>
    </w:p>
    <w:p w14:paraId="11ECFB30" w14:textId="4B6D27D8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p w14:paraId="359E6748" w14:textId="6AA13740" w:rsidR="000E6242" w:rsidRP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25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=3.5</m:t>
          </m:r>
        </m:oMath>
      </m:oMathPara>
    </w:p>
    <w:p w14:paraId="45D1711C" w14:textId="122FC6A8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p w14:paraId="4DE4D3E7" w14:textId="329E3FB7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estudiante debe tener máximo 3.5 de valor promedio para estar dentro del 25% de los estudiantes más malos o de menor promedio. </w:t>
      </w:r>
    </w:p>
    <w:p w14:paraId="7BFF1443" w14:textId="7ECA558B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p w14:paraId="3340BA45" w14:textId="5536BDCF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p w14:paraId="301C98C0" w14:textId="541CBC77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p w14:paraId="6D76FC57" w14:textId="77777777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p w14:paraId="75914D0D" w14:textId="11C7F6B6" w:rsidR="000E6242" w:rsidRDefault="000E6242" w:rsidP="000E6242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Calculamos los estadísticos necesarios</w:t>
      </w:r>
    </w:p>
    <w:p w14:paraId="3F50538C" w14:textId="07A1FAE1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tbl>
      <w:tblPr>
        <w:tblW w:w="4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"/>
        <w:gridCol w:w="1766"/>
        <w:gridCol w:w="1944"/>
        <w:gridCol w:w="698"/>
      </w:tblGrid>
      <w:tr w:rsidR="00A46447" w:rsidRPr="00A46447" w14:paraId="4C141B29" w14:textId="77777777" w:rsidTr="00A46447">
        <w:trPr>
          <w:trHeight w:val="288"/>
          <w:jc w:val="center"/>
        </w:trPr>
        <w:tc>
          <w:tcPr>
            <w:tcW w:w="4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BC57C" w14:textId="77777777" w:rsidR="00A46447" w:rsidRPr="00A46447" w:rsidRDefault="00A46447" w:rsidP="00A46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Estadístico según trabajo</w:t>
            </w:r>
          </w:p>
        </w:tc>
      </w:tr>
      <w:tr w:rsidR="00A46447" w:rsidRPr="00A46447" w14:paraId="031F6758" w14:textId="77777777" w:rsidTr="00A46447">
        <w:trPr>
          <w:trHeight w:val="288"/>
          <w:jc w:val="center"/>
        </w:trPr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2CA23" w14:textId="77777777" w:rsidR="00A46447" w:rsidRPr="00A46447" w:rsidRDefault="00A46447" w:rsidP="00A46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17D2C" w14:textId="77777777" w:rsidR="00A46447" w:rsidRPr="00A46447" w:rsidRDefault="00A46447" w:rsidP="00A46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C06BC" w14:textId="77777777" w:rsidR="00A46447" w:rsidRPr="00A46447" w:rsidRDefault="00A46447" w:rsidP="00A46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Desviación 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B169D" w14:textId="77777777" w:rsidR="00A46447" w:rsidRPr="00A46447" w:rsidRDefault="00A46447" w:rsidP="00A46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n</w:t>
            </w:r>
          </w:p>
        </w:tc>
      </w:tr>
      <w:tr w:rsidR="00A46447" w:rsidRPr="00A46447" w14:paraId="5AE7CF3D" w14:textId="77777777" w:rsidTr="00A46447">
        <w:trPr>
          <w:trHeight w:val="288"/>
          <w:jc w:val="center"/>
        </w:trPr>
        <w:tc>
          <w:tcPr>
            <w:tcW w:w="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5A6E" w14:textId="77777777" w:rsidR="00A46447" w:rsidRPr="00A46447" w:rsidRDefault="00A46447" w:rsidP="00A4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 xml:space="preserve">Si </w:t>
            </w:r>
          </w:p>
        </w:tc>
        <w:tc>
          <w:tcPr>
            <w:tcW w:w="17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2865" w14:textId="77777777" w:rsidR="00A46447" w:rsidRPr="00A46447" w:rsidRDefault="00A46447" w:rsidP="00A46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32,90</w:t>
            </w:r>
          </w:p>
        </w:tc>
        <w:tc>
          <w:tcPr>
            <w:tcW w:w="19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93E5" w14:textId="77777777" w:rsidR="00A46447" w:rsidRPr="00A46447" w:rsidRDefault="00A46447" w:rsidP="00A46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6,69</w:t>
            </w:r>
          </w:p>
        </w:tc>
        <w:tc>
          <w:tcPr>
            <w:tcW w:w="6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6C92" w14:textId="77777777" w:rsidR="00A46447" w:rsidRPr="00A46447" w:rsidRDefault="00A46447" w:rsidP="00A46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71</w:t>
            </w:r>
          </w:p>
        </w:tc>
      </w:tr>
      <w:tr w:rsidR="00A46447" w:rsidRPr="00A46447" w14:paraId="32067DCD" w14:textId="77777777" w:rsidTr="00A46447">
        <w:trPr>
          <w:trHeight w:val="288"/>
          <w:jc w:val="center"/>
        </w:trPr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64BD4" w14:textId="77777777" w:rsidR="00A46447" w:rsidRPr="00A46447" w:rsidRDefault="00A46447" w:rsidP="00A46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7B060" w14:textId="77777777" w:rsidR="00A46447" w:rsidRPr="00A46447" w:rsidRDefault="00A46447" w:rsidP="00A46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33,68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61ABC" w14:textId="77777777" w:rsidR="00A46447" w:rsidRPr="00A46447" w:rsidRDefault="00A46447" w:rsidP="00A46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7,64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5930" w14:textId="77777777" w:rsidR="00A46447" w:rsidRPr="00A46447" w:rsidRDefault="00A46447" w:rsidP="00A46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A464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129</w:t>
            </w:r>
          </w:p>
        </w:tc>
      </w:tr>
    </w:tbl>
    <w:p w14:paraId="6C22351F" w14:textId="5F2A4FAD" w:rsid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p w14:paraId="38EDAB9D" w14:textId="77777777" w:rsidR="00A46447" w:rsidRDefault="00A46447" w:rsidP="00A46447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Para hacer el contraste de medias es necesario, hacer el contraste de varianzas iguales de esta forma tenemos que: </w:t>
      </w:r>
    </w:p>
    <w:p w14:paraId="10DD7982" w14:textId="77777777" w:rsidR="00A46447" w:rsidRDefault="00A46447" w:rsidP="00A46447">
      <w:pPr>
        <w:pStyle w:val="Prrafodelista"/>
        <w:jc w:val="both"/>
        <w:rPr>
          <w:lang w:val="es-CO"/>
        </w:rPr>
      </w:pPr>
    </w:p>
    <w:p w14:paraId="1B8B310B" w14:textId="0880FB2E" w:rsidR="00A46447" w:rsidRPr="00FE2CD7" w:rsidRDefault="00A46447" w:rsidP="00A4644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: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s-CO"/>
            </w:rPr>
            <m:t>=1</m:t>
          </m:r>
        </m:oMath>
      </m:oMathPara>
    </w:p>
    <w:p w14:paraId="45E52B0B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03B119BE" w14:textId="28112291" w:rsidR="00A46447" w:rsidRPr="00FE2CD7" w:rsidRDefault="00A46447" w:rsidP="00A4644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: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s-CO"/>
            </w:rPr>
            <m:t>≠1</m:t>
          </m:r>
        </m:oMath>
      </m:oMathPara>
    </w:p>
    <w:p w14:paraId="3C355235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649FA055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Ahora, el estadístico de prueba será: </w:t>
      </w:r>
    </w:p>
    <w:p w14:paraId="5AD6B7FE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7A5D6050" w14:textId="4F8FA733" w:rsidR="00A46447" w:rsidRPr="00FE2CD7" w:rsidRDefault="00A46447" w:rsidP="00A4644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=0.</m:t>
          </m:r>
          <m:r>
            <w:rPr>
              <w:rFonts w:ascii="Cambria Math" w:hAnsi="Cambria Math"/>
              <w:lang w:val="es-CO"/>
            </w:rPr>
            <m:t>77</m:t>
          </m:r>
        </m:oMath>
      </m:oMathPara>
    </w:p>
    <w:p w14:paraId="6B44E37B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4CD7E0CA" w14:textId="2E171834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Con valor critico de </w:t>
      </w:r>
      <m:oMath>
        <m:r>
          <w:rPr>
            <w:rFonts w:ascii="Cambria Math" w:eastAsiaTheme="minorEastAsia" w:hAnsi="Cambria Math"/>
            <w:lang w:val="es-C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0.01,</m:t>
            </m:r>
            <m:r>
              <w:rPr>
                <w:rFonts w:ascii="Cambria Math" w:eastAsiaTheme="minorEastAsia" w:hAnsi="Cambria Math"/>
                <w:lang w:val="es-CO"/>
              </w:rPr>
              <m:t>71</m:t>
            </m:r>
            <m:r>
              <w:rPr>
                <w:rFonts w:ascii="Cambria Math" w:eastAsiaTheme="minorEastAsia" w:hAnsi="Cambria Math"/>
                <w:lang w:val="es-CO"/>
              </w:rPr>
              <m:t>,</m:t>
            </m:r>
            <m:r>
              <w:rPr>
                <w:rFonts w:ascii="Cambria Math" w:eastAsiaTheme="minorEastAsia" w:hAnsi="Cambria Math"/>
                <w:lang w:val="es-CO"/>
              </w:rPr>
              <m:t>129</m:t>
            </m:r>
          </m:e>
        </m:d>
        <m:r>
          <w:rPr>
            <w:rFonts w:ascii="Cambria Math" w:eastAsiaTheme="minorEastAsia" w:hAnsi="Cambria Math"/>
            <w:lang w:val="es-CO"/>
          </w:rPr>
          <m:t>=</m:t>
        </m:r>
        <m:r>
          <w:rPr>
            <w:rFonts w:ascii="Cambria Math" w:eastAsiaTheme="minorEastAsia" w:hAnsi="Cambria Math"/>
            <w:lang w:val="es-CO"/>
          </w:rPr>
          <m:t>0.56</m:t>
        </m:r>
      </m:oMath>
      <w:r>
        <w:rPr>
          <w:rFonts w:eastAsiaTheme="minorEastAsia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0.01,</m:t>
            </m:r>
            <m:r>
              <w:rPr>
                <w:rFonts w:ascii="Cambria Math" w:eastAsiaTheme="minorEastAsia" w:hAnsi="Cambria Math"/>
                <w:lang w:val="es-CO"/>
              </w:rPr>
              <m:t>71</m:t>
            </m:r>
            <m:r>
              <w:rPr>
                <w:rFonts w:ascii="Cambria Math" w:eastAsiaTheme="minorEastAsia" w:hAnsi="Cambria Math"/>
                <w:lang w:val="es-CO"/>
              </w:rPr>
              <m:t>,</m:t>
            </m:r>
            <m:r>
              <w:rPr>
                <w:rFonts w:ascii="Cambria Math" w:eastAsiaTheme="minorEastAsia" w:hAnsi="Cambria Math"/>
                <w:lang w:val="es-CO"/>
              </w:rPr>
              <m:t>129</m:t>
            </m:r>
          </m:e>
        </m:d>
        <m:r>
          <w:rPr>
            <w:rFonts w:ascii="Cambria Math" w:eastAsiaTheme="minorEastAsia" w:hAnsi="Cambria Math"/>
            <w:lang w:val="es-CO"/>
          </w:rPr>
          <m:t>=1.</m:t>
        </m:r>
        <m:r>
          <w:rPr>
            <w:rFonts w:ascii="Cambria Math" w:eastAsiaTheme="minorEastAsia" w:hAnsi="Cambria Math"/>
            <w:lang w:val="es-CO"/>
          </w:rPr>
          <m:t>69</m:t>
        </m:r>
      </m:oMath>
      <w:r>
        <w:rPr>
          <w:rFonts w:eastAsiaTheme="minorEastAsia"/>
          <w:lang w:val="es-CO"/>
        </w:rPr>
        <w:t xml:space="preserve">. Como el valor del estadístico de rechazo no cae en la región de rechazo. Las varianzas son iguales. </w:t>
      </w:r>
    </w:p>
    <w:p w14:paraId="10D79002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38BC6269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Luego, tenemos el siguiente contraste de hipótesis </w:t>
      </w:r>
    </w:p>
    <w:p w14:paraId="2E182D23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70886D21" w14:textId="42E8511A" w:rsidR="00A46447" w:rsidRPr="004C48BF" w:rsidRDefault="00A46447" w:rsidP="00A4644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μ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μ</m:t>
              </m:r>
            </m:e>
            <m:sub>
              <m:r>
                <w:rPr>
                  <w:rFonts w:ascii="Cambria Math" w:hAnsi="Cambria Math"/>
                  <w:lang w:val="es-CO"/>
                </w:rPr>
                <m:t>N</m:t>
              </m:r>
            </m:sub>
          </m:sSub>
          <m:r>
            <w:rPr>
              <w:rFonts w:ascii="Cambria Math" w:hAnsi="Cambria Math"/>
              <w:lang w:val="es-CO"/>
            </w:rPr>
            <m:t>≥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3CCF8DE3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018323E5" w14:textId="608696BF" w:rsidR="00A46447" w:rsidRPr="004C48BF" w:rsidRDefault="00A46447" w:rsidP="00A4644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μ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μ</m:t>
              </m:r>
            </m:e>
            <m:sub>
              <m:r>
                <w:rPr>
                  <w:rFonts w:ascii="Cambria Math" w:hAnsi="Cambria Math"/>
                  <w:lang w:val="es-CO"/>
                </w:rPr>
                <m:t>N</m:t>
              </m:r>
            </m:sub>
          </m:sSub>
          <m:r>
            <w:rPr>
              <w:rFonts w:ascii="Cambria Math" w:hAnsi="Cambria Math"/>
              <w:lang w:val="es-CO"/>
            </w:rPr>
            <m:t>&lt;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1F04C749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155DECC0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Donde, el estadístico de prueba es: </w:t>
      </w:r>
    </w:p>
    <w:p w14:paraId="4F504DB0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56C14984" w14:textId="160510C7" w:rsidR="00A46447" w:rsidRPr="004C48BF" w:rsidRDefault="00A46447" w:rsidP="00A4644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7.32</m:t>
          </m:r>
        </m:oMath>
      </m:oMathPara>
    </w:p>
    <w:p w14:paraId="502E36C0" w14:textId="77777777" w:rsidR="00A46447" w:rsidRPr="004C48BF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17F74FE0" w14:textId="77777777" w:rsidR="00A46447" w:rsidRDefault="00A46447" w:rsidP="00A46447">
      <w:pPr>
        <w:pStyle w:val="Prrafodelista"/>
        <w:jc w:val="both"/>
        <w:rPr>
          <w:rFonts w:eastAsiaTheme="minorEastAsia"/>
          <w:lang w:val="es-CO"/>
        </w:rPr>
      </w:pPr>
    </w:p>
    <w:p w14:paraId="05BFFBFA" w14:textId="66A4193F" w:rsidR="00A46447" w:rsidRPr="004C48BF" w:rsidRDefault="00A46447" w:rsidP="00A4644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-78.1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1.081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-0.722</m:t>
          </m:r>
        </m:oMath>
      </m:oMathPara>
    </w:p>
    <w:p w14:paraId="313250C1" w14:textId="77777777" w:rsidR="00A46447" w:rsidRDefault="00A46447" w:rsidP="00A46447">
      <w:pPr>
        <w:pStyle w:val="Prrafodelista"/>
        <w:jc w:val="both"/>
        <w:rPr>
          <w:lang w:val="es-CO"/>
        </w:rPr>
      </w:pPr>
    </w:p>
    <w:p w14:paraId="7250D906" w14:textId="1AE396D9" w:rsidR="00A46447" w:rsidRDefault="00A46447" w:rsidP="00A46447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Con valores críticos 2.601 y -2.601. Por tanto, tenemos que el estadístico de prueba no cae en la región de rechazo. Por tanto, la media </w:t>
      </w:r>
      <w:r>
        <w:rPr>
          <w:lang w:val="es-CO"/>
        </w:rPr>
        <w:t>en horas de estudio no es mayor para los que no trabajan.</w:t>
      </w:r>
    </w:p>
    <w:p w14:paraId="281EBC9B" w14:textId="3E363B82" w:rsidR="00A46447" w:rsidRDefault="00A46447" w:rsidP="00A46447">
      <w:pPr>
        <w:pStyle w:val="Prrafodelista"/>
        <w:jc w:val="both"/>
        <w:rPr>
          <w:lang w:val="es-CO"/>
        </w:rPr>
      </w:pPr>
    </w:p>
    <w:p w14:paraId="12B6D210" w14:textId="45A5AB2A" w:rsidR="00A46447" w:rsidRDefault="00A46447" w:rsidP="00A4644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Se calculará el coeficiente de correlación lineal para determinar el nivel de correlación entre las variables. </w:t>
      </w:r>
    </w:p>
    <w:p w14:paraId="79ECF80E" w14:textId="12F53CD5" w:rsidR="00A46447" w:rsidRDefault="00A46447" w:rsidP="00A46447">
      <w:pPr>
        <w:pStyle w:val="Prrafodelista"/>
        <w:jc w:val="both"/>
        <w:rPr>
          <w:lang w:val="es-CO"/>
        </w:rPr>
      </w:pPr>
    </w:p>
    <w:p w14:paraId="652B61B6" w14:textId="2E808F9B" w:rsidR="00A46447" w:rsidRPr="00A46447" w:rsidRDefault="00A46447" w:rsidP="00A46447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r=0.3094</m:t>
          </m:r>
        </m:oMath>
      </m:oMathPara>
    </w:p>
    <w:p w14:paraId="4541EFA2" w14:textId="370271EE" w:rsidR="00A46447" w:rsidRDefault="00A46447" w:rsidP="00A46447">
      <w:pPr>
        <w:pStyle w:val="Prrafodelista"/>
        <w:jc w:val="both"/>
        <w:rPr>
          <w:lang w:val="es-CO"/>
        </w:rPr>
      </w:pPr>
      <w:r>
        <w:rPr>
          <w:lang w:val="es-CO"/>
        </w:rPr>
        <w:lastRenderedPageBreak/>
        <w:t>La relación entre las variables es de un 30.9%. Es decir, cuando crece una la otra. Sin embargo, su nivel de correlación lineal es muy baja lo que indica que no hay una relación lineal entre estas variables.</w:t>
      </w:r>
    </w:p>
    <w:p w14:paraId="73D994BE" w14:textId="7D2C42B1" w:rsidR="00A46447" w:rsidRDefault="00A46447" w:rsidP="00A46447">
      <w:pPr>
        <w:pStyle w:val="Prrafodelista"/>
        <w:jc w:val="both"/>
        <w:rPr>
          <w:lang w:val="es-CO"/>
        </w:rPr>
      </w:pPr>
    </w:p>
    <w:p w14:paraId="7C7119F2" w14:textId="77204860" w:rsidR="00A46447" w:rsidRDefault="00A46447" w:rsidP="00A4644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Para mirar la posible distribución de probabilidad, veamos su histograma.</w:t>
      </w:r>
    </w:p>
    <w:p w14:paraId="2C857A25" w14:textId="17ABAD3E" w:rsidR="00A46447" w:rsidRDefault="00A46447" w:rsidP="00A46447">
      <w:pPr>
        <w:pStyle w:val="Prrafodelista"/>
        <w:jc w:val="both"/>
        <w:rPr>
          <w:lang w:val="es-CO"/>
        </w:rPr>
      </w:pPr>
    </w:p>
    <w:p w14:paraId="3021E829" w14:textId="001D8FFE" w:rsidR="00A46447" w:rsidRDefault="00A46447" w:rsidP="00A46447">
      <w:pPr>
        <w:pStyle w:val="Prrafodelista"/>
        <w:jc w:val="both"/>
        <w:rPr>
          <w:lang w:val="es-CO"/>
        </w:rPr>
      </w:pPr>
      <w:r>
        <w:rPr>
          <w:noProof/>
        </w:rPr>
        <mc:AlternateContent>
          <mc:Choice Requires="cx1">
            <w:drawing>
              <wp:inline distT="0" distB="0" distL="0" distR="0" wp14:anchorId="2A60EA9E" wp14:editId="63157FCB">
                <wp:extent cx="4572000" cy="2743200"/>
                <wp:effectExtent l="0" t="0" r="0" b="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E4D43A-0990-6F62-49B9-533D8EA1DB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2A60EA9E" wp14:editId="63157FCB">
                <wp:extent cx="4572000" cy="2743200"/>
                <wp:effectExtent l="0" t="0" r="0" b="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E4D43A-0990-6F62-49B9-533D8EA1DBE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A8E4D43A-0990-6F62-49B9-533D8EA1DBE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929C178" w14:textId="21EFC2EF" w:rsidR="00A46447" w:rsidRDefault="00A46447" w:rsidP="00A46447">
      <w:pPr>
        <w:pStyle w:val="Prrafodelista"/>
        <w:jc w:val="both"/>
        <w:rPr>
          <w:lang w:val="es-CO"/>
        </w:rPr>
      </w:pPr>
    </w:p>
    <w:p w14:paraId="43C8E1AB" w14:textId="56E89E64" w:rsidR="006922FF" w:rsidRDefault="00A46447" w:rsidP="006922FF">
      <w:pPr>
        <w:pStyle w:val="Prrafodelista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Vemos que la variable tiene parecido a una variable normal </w:t>
      </w:r>
      <w:r w:rsidR="006922FF">
        <w:rPr>
          <w:lang w:val="es-CO"/>
        </w:rPr>
        <w:t xml:space="preserve">con una ligera asimetría positiva. Por esto haciendo una prueba de normalidad de Shapiro, bajo un </w:t>
      </w:r>
      <m:oMath>
        <m:r>
          <w:rPr>
            <w:rFonts w:ascii="Cambria Math" w:hAnsi="Cambria Math"/>
            <w:lang w:val="es-CO"/>
          </w:rPr>
          <m:t>α=0.01</m:t>
        </m:r>
      </m:oMath>
      <w:r w:rsidR="006922FF">
        <w:rPr>
          <w:rFonts w:eastAsiaTheme="minorEastAsia"/>
          <w:lang w:val="es-CO"/>
        </w:rPr>
        <w:t>. Se tiene que la variable promedio distribuye normal con media 3.733 y desviación 0.356.</w:t>
      </w:r>
    </w:p>
    <w:p w14:paraId="351136A0" w14:textId="706958DC" w:rsidR="006922FF" w:rsidRDefault="006922FF" w:rsidP="006922FF">
      <w:pPr>
        <w:pStyle w:val="Prrafodelista"/>
        <w:jc w:val="both"/>
        <w:rPr>
          <w:rFonts w:eastAsiaTheme="minorEastAsia"/>
          <w:lang w:val="es-CO"/>
        </w:rPr>
      </w:pPr>
    </w:p>
    <w:p w14:paraId="1482EDBB" w14:textId="77777777" w:rsidR="006922FF" w:rsidRPr="006922FF" w:rsidRDefault="006922FF" w:rsidP="006922FF">
      <w:pPr>
        <w:pStyle w:val="Prrafodelista"/>
        <w:jc w:val="both"/>
        <w:rPr>
          <w:rFonts w:eastAsiaTheme="minorEastAsia"/>
          <w:lang w:val="es-CO"/>
        </w:rPr>
      </w:pPr>
    </w:p>
    <w:p w14:paraId="753F8F43" w14:textId="5A7B5149" w:rsidR="000E6242" w:rsidRPr="000E6242" w:rsidRDefault="000E6242" w:rsidP="000E6242">
      <w:pPr>
        <w:pStyle w:val="Prrafodelista"/>
        <w:jc w:val="both"/>
        <w:rPr>
          <w:rFonts w:eastAsiaTheme="minorEastAsia"/>
          <w:lang w:val="es-CO"/>
        </w:rPr>
      </w:pPr>
    </w:p>
    <w:sectPr w:rsidR="000E6242" w:rsidRPr="000E6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330E1"/>
    <w:multiLevelType w:val="hybridMultilevel"/>
    <w:tmpl w:val="819A5E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0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A6"/>
    <w:rsid w:val="000E6242"/>
    <w:rsid w:val="003E53B2"/>
    <w:rsid w:val="004B2E89"/>
    <w:rsid w:val="004C48BF"/>
    <w:rsid w:val="00500FA6"/>
    <w:rsid w:val="005D5FA6"/>
    <w:rsid w:val="006922FF"/>
    <w:rsid w:val="00A46447"/>
    <w:rsid w:val="00FD687A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6380"/>
  <w15:chartTrackingRefBased/>
  <w15:docId w15:val="{CFD84BE5-3662-400F-B2F7-87692F67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F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E2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ipgu\Downloads\Datos%20proyecto%20de%20Aula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'Datos proyecto de Aula'!$G$2:$G$201</cx:f>
        <cx:lvl ptCount="200" formatCode="General">
          <cx:pt idx="0">3.7000000000000002</cx:pt>
          <cx:pt idx="1">3.3999999999999999</cx:pt>
          <cx:pt idx="2">3.5</cx:pt>
          <cx:pt idx="3">2.8999999999999999</cx:pt>
          <cx:pt idx="4">4</cx:pt>
          <cx:pt idx="5">3.7999999999999998</cx:pt>
          <cx:pt idx="6">3.7000000000000002</cx:pt>
          <cx:pt idx="7">3.8999999999999999</cx:pt>
          <cx:pt idx="8">4.2000000000000002</cx:pt>
          <cx:pt idx="9">3.2999999999999998</cx:pt>
          <cx:pt idx="10">3.5</cx:pt>
          <cx:pt idx="11">3.7999999999999998</cx:pt>
          <cx:pt idx="12">3.7999999999999998</cx:pt>
          <cx:pt idx="13">3.2000000000000002</cx:pt>
          <cx:pt idx="14">4.5</cx:pt>
          <cx:pt idx="15">3.7000000000000002</cx:pt>
          <cx:pt idx="16">4.0999999999999996</cx:pt>
          <cx:pt idx="17">3.5</cx:pt>
          <cx:pt idx="18">3.2999999999999998</cx:pt>
          <cx:pt idx="19">4.7000000000000002</cx:pt>
          <cx:pt idx="20">4.4000000000000004</cx:pt>
          <cx:pt idx="21">3.7000000000000002</cx:pt>
          <cx:pt idx="22">3.8999999999999999</cx:pt>
          <cx:pt idx="23">3.2000000000000002</cx:pt>
          <cx:pt idx="24">3.7999999999999998</cx:pt>
          <cx:pt idx="25">4.0999999999999996</cx:pt>
          <cx:pt idx="26">3.5</cx:pt>
          <cx:pt idx="27">3.6000000000000001</cx:pt>
          <cx:pt idx="28">4.2999999999999998</cx:pt>
          <cx:pt idx="29">4</cx:pt>
          <cx:pt idx="30">3.5</cx:pt>
          <cx:pt idx="31">3.7999999999999998</cx:pt>
          <cx:pt idx="32">3.6000000000000001</cx:pt>
          <cx:pt idx="33">4.4000000000000004</cx:pt>
          <cx:pt idx="34">4</cx:pt>
          <cx:pt idx="35">3.8999999999999999</cx:pt>
          <cx:pt idx="36">3.7000000000000002</cx:pt>
          <cx:pt idx="37">3.7000000000000002</cx:pt>
          <cx:pt idx="38">3.8999999999999999</cx:pt>
          <cx:pt idx="39">4</cx:pt>
          <cx:pt idx="40">3.7000000000000002</cx:pt>
          <cx:pt idx="41">3.8999999999999999</cx:pt>
          <cx:pt idx="42">3.5</cx:pt>
          <cx:pt idx="43">3.7999999999999998</cx:pt>
          <cx:pt idx="44">3.8999999999999999</cx:pt>
          <cx:pt idx="45">3.2000000000000002</cx:pt>
          <cx:pt idx="46">3.5</cx:pt>
          <cx:pt idx="47">4.2000000000000002</cx:pt>
          <cx:pt idx="48">3.2999999999999998</cx:pt>
          <cx:pt idx="49">4</cx:pt>
          <cx:pt idx="50">3.6000000000000001</cx:pt>
          <cx:pt idx="51">3.2000000000000002</cx:pt>
          <cx:pt idx="52">3.7999999999999998</cx:pt>
          <cx:pt idx="53">3.7999999999999998</cx:pt>
          <cx:pt idx="54">3.2000000000000002</cx:pt>
          <cx:pt idx="55">3.2000000000000002</cx:pt>
          <cx:pt idx="56">3.7000000000000002</cx:pt>
          <cx:pt idx="57">3.6000000000000001</cx:pt>
          <cx:pt idx="58">2.8999999999999999</cx:pt>
          <cx:pt idx="59">3.6000000000000001</cx:pt>
          <cx:pt idx="60">3.7999999999999998</cx:pt>
          <cx:pt idx="61">4.0999999999999996</cx:pt>
          <cx:pt idx="62">3.7999999999999998</cx:pt>
          <cx:pt idx="63">3.7000000000000002</cx:pt>
          <cx:pt idx="64">3.2000000000000002</cx:pt>
          <cx:pt idx="65">3.7000000000000002</cx:pt>
          <cx:pt idx="66">3.5</cx:pt>
          <cx:pt idx="67">4.0999999999999996</cx:pt>
          <cx:pt idx="68">3.3999999999999999</cx:pt>
          <cx:pt idx="69">3.6000000000000001</cx:pt>
          <cx:pt idx="70">3.5</cx:pt>
          <cx:pt idx="71">4</cx:pt>
          <cx:pt idx="72">4</cx:pt>
          <cx:pt idx="73">3.7999999999999998</cx:pt>
          <cx:pt idx="74">3.6000000000000001</cx:pt>
          <cx:pt idx="75">3.5</cx:pt>
          <cx:pt idx="76">4</cx:pt>
          <cx:pt idx="77">4.0999999999999996</cx:pt>
          <cx:pt idx="78">3.7000000000000002</cx:pt>
          <cx:pt idx="79">3.6000000000000001</cx:pt>
          <cx:pt idx="80">3.5</cx:pt>
          <cx:pt idx="81">3.8999999999999999</cx:pt>
          <cx:pt idx="82">3.8999999999999999</cx:pt>
          <cx:pt idx="83">3.6000000000000001</cx:pt>
          <cx:pt idx="84">3.8999999999999999</cx:pt>
          <cx:pt idx="85">3.1000000000000001</cx:pt>
          <cx:pt idx="86">3.8999999999999999</cx:pt>
          <cx:pt idx="87">3.5</cx:pt>
          <cx:pt idx="88">4.2000000000000002</cx:pt>
          <cx:pt idx="89">3.7000000000000002</cx:pt>
          <cx:pt idx="90">3.5</cx:pt>
          <cx:pt idx="91">3.8999999999999999</cx:pt>
          <cx:pt idx="92">3.7999999999999998</cx:pt>
          <cx:pt idx="93">3.7000000000000002</cx:pt>
          <cx:pt idx="94">3.7999999999999998</cx:pt>
          <cx:pt idx="95">3.7000000000000002</cx:pt>
          <cx:pt idx="96">4</cx:pt>
          <cx:pt idx="97">3.7999999999999998</cx:pt>
          <cx:pt idx="98">3.8999999999999999</cx:pt>
          <cx:pt idx="99">3.8999999999999999</cx:pt>
          <cx:pt idx="100">3.6000000000000001</cx:pt>
          <cx:pt idx="101">3.1000000000000001</cx:pt>
          <cx:pt idx="102">4.2000000000000002</cx:pt>
          <cx:pt idx="103">3.5</cx:pt>
          <cx:pt idx="104">3.3999999999999999</cx:pt>
          <cx:pt idx="105">3.7999999999999998</cx:pt>
          <cx:pt idx="106">3.7999999999999998</cx:pt>
          <cx:pt idx="107">4.4000000000000004</cx:pt>
          <cx:pt idx="108">3.7000000000000002</cx:pt>
          <cx:pt idx="109">3.8999999999999999</cx:pt>
          <cx:pt idx="110">3.2000000000000002</cx:pt>
          <cx:pt idx="111">3.1000000000000001</cx:pt>
          <cx:pt idx="112">3.3999999999999999</cx:pt>
          <cx:pt idx="113">3.3999999999999999</cx:pt>
          <cx:pt idx="114">3.3999999999999999</cx:pt>
          <cx:pt idx="115">3.5</cx:pt>
          <cx:pt idx="116">3.8999999999999999</cx:pt>
          <cx:pt idx="117">3</cx:pt>
          <cx:pt idx="118">3.6000000000000001</cx:pt>
          <cx:pt idx="119">3.7999999999999998</cx:pt>
          <cx:pt idx="120">3.8999999999999999</cx:pt>
          <cx:pt idx="121">3.2999999999999998</cx:pt>
          <cx:pt idx="122">4.5</cx:pt>
          <cx:pt idx="123">3.2000000000000002</cx:pt>
          <cx:pt idx="124">4.4000000000000004</cx:pt>
          <cx:pt idx="125">4.2999999999999998</cx:pt>
          <cx:pt idx="126">4.2999999999999998</cx:pt>
          <cx:pt idx="127">3.1000000000000001</cx:pt>
          <cx:pt idx="128">3.3999999999999999</cx:pt>
          <cx:pt idx="129">4.2000000000000002</cx:pt>
          <cx:pt idx="130">4</cx:pt>
          <cx:pt idx="131">3.2999999999999998</cx:pt>
          <cx:pt idx="132">4.2999999999999998</cx:pt>
          <cx:pt idx="133">3.5</cx:pt>
          <cx:pt idx="134">3.1000000000000001</cx:pt>
          <cx:pt idx="135">3.8999999999999999</cx:pt>
          <cx:pt idx="136">3.7999999999999998</cx:pt>
          <cx:pt idx="137">4.0999999999999996</cx:pt>
          <cx:pt idx="138">3.7000000000000002</cx:pt>
          <cx:pt idx="139">3.3999999999999999</cx:pt>
          <cx:pt idx="140">3.7000000000000002</cx:pt>
          <cx:pt idx="141">4.2000000000000002</cx:pt>
          <cx:pt idx="142">4.2999999999999998</cx:pt>
          <cx:pt idx="143">3.2999999999999998</cx:pt>
          <cx:pt idx="144">3.3999999999999999</cx:pt>
          <cx:pt idx="145">3.7999999999999998</cx:pt>
          <cx:pt idx="146">3.6000000000000001</cx:pt>
          <cx:pt idx="147">3.7999999999999998</cx:pt>
          <cx:pt idx="148">4.4000000000000004</cx:pt>
          <cx:pt idx="149">4</cx:pt>
          <cx:pt idx="150">3.7999999999999998</cx:pt>
          <cx:pt idx="151">3.5</cx:pt>
          <cx:pt idx="152">3.6000000000000001</cx:pt>
          <cx:pt idx="153">3.7999999999999998</cx:pt>
          <cx:pt idx="154">3.5</cx:pt>
          <cx:pt idx="155">3.7000000000000002</cx:pt>
          <cx:pt idx="156">3.7999999999999998</cx:pt>
          <cx:pt idx="157">4.2000000000000002</cx:pt>
          <cx:pt idx="158">3.5</cx:pt>
          <cx:pt idx="159">4</cx:pt>
          <cx:pt idx="160">3.6000000000000001</cx:pt>
          <cx:pt idx="161">3.1000000000000001</cx:pt>
          <cx:pt idx="162">3.7999999999999998</cx:pt>
          <cx:pt idx="163">4.2999999999999998</cx:pt>
          <cx:pt idx="164">3</cx:pt>
          <cx:pt idx="165">3.7999999999999998</cx:pt>
          <cx:pt idx="166">3.3999999999999999</cx:pt>
          <cx:pt idx="167">3.6000000000000001</cx:pt>
          <cx:pt idx="168">4</cx:pt>
          <cx:pt idx="169">4</cx:pt>
          <cx:pt idx="170">4</cx:pt>
          <cx:pt idx="171">4.0999999999999996</cx:pt>
          <cx:pt idx="172">3.7000000000000002</cx:pt>
          <cx:pt idx="173">4</cx:pt>
          <cx:pt idx="174">3.5</cx:pt>
          <cx:pt idx="175">3.8999999999999999</cx:pt>
          <cx:pt idx="176">4.0999999999999996</cx:pt>
          <cx:pt idx="177">3.5</cx:pt>
          <cx:pt idx="178">3.6000000000000001</cx:pt>
          <cx:pt idx="179">2.8999999999999999</cx:pt>
          <cx:pt idx="180">3.7999999999999998</cx:pt>
          <cx:pt idx="181">5</cx:pt>
          <cx:pt idx="182">3.7999999999999998</cx:pt>
          <cx:pt idx="183">3.5</cx:pt>
          <cx:pt idx="184">3.2999999999999998</cx:pt>
          <cx:pt idx="185">4.2999999999999998</cx:pt>
          <cx:pt idx="186">3.7000000000000002</cx:pt>
          <cx:pt idx="187">3.7999999999999998</cx:pt>
          <cx:pt idx="188">3.3999999999999999</cx:pt>
          <cx:pt idx="189">3.7000000000000002</cx:pt>
          <cx:pt idx="190">3.6000000000000001</cx:pt>
          <cx:pt idx="191">3.8999999999999999</cx:pt>
          <cx:pt idx="192">3.7000000000000002</cx:pt>
          <cx:pt idx="193">3.7999999999999998</cx:pt>
          <cx:pt idx="194">3.7000000000000002</cx:pt>
          <cx:pt idx="195">4.0999999999999996</cx:pt>
          <cx:pt idx="196">4.2000000000000002</cx:pt>
          <cx:pt idx="197">3.5</cx:pt>
          <cx:pt idx="198">3.8999999999999999</cx:pt>
          <cx:pt idx="199">3.7000000000000002</cx:pt>
        </cx:lvl>
      </cx:numDim>
    </cx:data>
  </cx:chartData>
  <cx:chart>
    <cx:title pos="t" align="ctr" overlay="0">
      <cx:tx>
        <cx:txData>
          <cx:v>Histograma promedio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Histograma promedio</a:t>
          </a:r>
        </a:p>
      </cx:txPr>
    </cx:title>
    <cx:plotArea>
      <cx:plotAreaRegion>
        <cx:series layoutId="clusteredColumn" uniqueId="{770E51E4-E3EC-429D-9BC9-577D6AC0A2F3}">
          <cx:tx>
            <cx:txData>
              <cx:f>'Datos proyecto de Aula'!$G$1</cx:f>
              <cx:v>PROM</cx:v>
            </cx:txData>
          </cx:tx>
          <cx:dataLabels/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in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cap="all" spc="15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Muñoz Layton</dc:creator>
  <cp:keywords/>
  <dc:description/>
  <cp:lastModifiedBy>Miguel Angel Muñoz Layton</cp:lastModifiedBy>
  <cp:revision>1</cp:revision>
  <dcterms:created xsi:type="dcterms:W3CDTF">2022-10-30T10:20:00Z</dcterms:created>
  <dcterms:modified xsi:type="dcterms:W3CDTF">2022-10-30T11:26:00Z</dcterms:modified>
</cp:coreProperties>
</file>