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43282" w14:textId="3EE429F1" w:rsidR="00950F1B" w:rsidRDefault="00950F1B">
      <w:pPr>
        <w:pStyle w:val="Ttul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9E621" wp14:editId="6454274E">
                <wp:simplePos x="0" y="0"/>
                <wp:positionH relativeFrom="column">
                  <wp:posOffset>1449705</wp:posOffset>
                </wp:positionH>
                <wp:positionV relativeFrom="paragraph">
                  <wp:posOffset>45085</wp:posOffset>
                </wp:positionV>
                <wp:extent cx="2705100" cy="1485900"/>
                <wp:effectExtent l="57150" t="19050" r="76200" b="95250"/>
                <wp:wrapNone/>
                <wp:docPr id="258622472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14859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437109" w14:textId="2D50B7B4" w:rsidR="00950F1B" w:rsidRDefault="00950F1B" w:rsidP="00950F1B">
                            <w:pPr>
                              <w:jc w:val="center"/>
                            </w:pPr>
                            <w:r>
                              <w:t xml:space="preserve"> Imagem Hero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29E621" id="Retângulo 1" o:spid="_x0000_s1026" style="position:absolute;left:0;text-align:left;margin-left:114.15pt;margin-top:3.55pt;width:213pt;height:11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6437109" w14:textId="2D50B7B4" w:rsidR="00950F1B" w:rsidRDefault="00950F1B" w:rsidP="00950F1B">
                      <w:pPr>
                        <w:jc w:val="center"/>
                      </w:pPr>
                      <w:r>
                        <w:t xml:space="preserve"> Imagem Hero</w:t>
                      </w:r>
                    </w:p>
                  </w:txbxContent>
                </v:textbox>
              </v:rect>
            </w:pict>
          </mc:Fallback>
        </mc:AlternateContent>
      </w:r>
    </w:p>
    <w:p w14:paraId="4E7813FD" w14:textId="77777777" w:rsidR="00950F1B" w:rsidRDefault="00950F1B">
      <w:pPr>
        <w:pStyle w:val="Ttulo"/>
        <w:jc w:val="center"/>
      </w:pPr>
    </w:p>
    <w:p w14:paraId="7433A0EB" w14:textId="77777777" w:rsidR="00950F1B" w:rsidRDefault="00950F1B">
      <w:pPr>
        <w:pStyle w:val="Ttulo"/>
        <w:jc w:val="center"/>
      </w:pPr>
    </w:p>
    <w:p w14:paraId="5EBB65AA" w14:textId="77777777" w:rsidR="00950F1B" w:rsidRDefault="00950F1B">
      <w:pPr>
        <w:pStyle w:val="Ttulo"/>
        <w:jc w:val="center"/>
      </w:pPr>
    </w:p>
    <w:p w14:paraId="3ADC0ED6" w14:textId="7BB15FF6" w:rsidR="00AD455F" w:rsidRDefault="00000000">
      <w:pPr>
        <w:pStyle w:val="Ttulo"/>
        <w:jc w:val="center"/>
      </w:pPr>
      <w:r>
        <w:t>O que acontece com a rede quando todo mundo instala painel solar?</w:t>
      </w:r>
    </w:p>
    <w:p w14:paraId="2731F73E" w14:textId="77777777" w:rsidR="00AD455F" w:rsidRDefault="00000000">
      <w:pPr>
        <w:spacing w:line="360" w:lineRule="auto"/>
        <w:ind w:firstLine="709"/>
        <w:jc w:val="both"/>
      </w:pPr>
      <w:r>
        <w:t>Linha fina: A geração distribuída pode reduzir o consumo vindo da rede, mas sua expansão também transforma o fluxo de potência, altera tensões e exige novos critérios para transformadores, proteção, controle, armazenamento e regulação tarifária.</w:t>
      </w:r>
    </w:p>
    <w:p w14:paraId="42E6D4A6" w14:textId="727F0352" w:rsidR="00AD455F" w:rsidRDefault="00000000">
      <w:pPr>
        <w:spacing w:line="360" w:lineRule="auto"/>
        <w:ind w:firstLine="709"/>
        <w:jc w:val="both"/>
      </w:pPr>
      <w:r>
        <w:t xml:space="preserve">A transição energética brasileira atravessa um momento de inflexão técnica e jurídica sem precedentes. Nunca foi tão acessível gerar a própria eletricidade, e nunca os desafios para integrar essa energia à infraestrutura existente foram tão </w:t>
      </w:r>
      <w:r w:rsidR="008379F7">
        <w:t>variada</w:t>
      </w:r>
      <w:r>
        <w:t xml:space="preserve">. A tese central que deve orientar qualquer análise responsável sobre o tema é clara: o problema não é “energia solar demais”. O desafio real emerge quando uma rede historicamente projetada para transportar eletricidade em uma única direção </w:t>
      </w:r>
      <w:r w:rsidR="008379F7">
        <w:t>que é</w:t>
      </w:r>
      <w:r>
        <w:t xml:space="preserve"> da subestação ao consumidor</w:t>
      </w:r>
      <w:r w:rsidR="008379F7">
        <w:t>,</w:t>
      </w:r>
      <w:r>
        <w:t xml:space="preserve"> passa a receber injeções descentralizadas de milhares de pontos, simultaneamente e sem coordenação suficiente. Compreender essa dinâmica exige ir além dos aspectos puramente elétricos, incorporando as dimensões regulatórias, econômicas e judiciais que hoje definem os limites e as possibilidades da Geração Distribuída (GD) no Brasil.</w:t>
      </w:r>
    </w:p>
    <w:p w14:paraId="2C78B6F4" w14:textId="77777777" w:rsidR="00AD455F" w:rsidRDefault="00000000">
      <w:pPr>
        <w:pStyle w:val="Ttulo2"/>
      </w:pPr>
      <w:r>
        <w:t>A ruptura do fluxo unidirecional e os impactos físicos na rede</w:t>
      </w:r>
    </w:p>
    <w:p w14:paraId="2E0F6F88" w14:textId="77777777" w:rsidR="00AD455F" w:rsidRDefault="00000000">
      <w:pPr>
        <w:spacing w:line="360" w:lineRule="auto"/>
        <w:ind w:firstLine="709"/>
        <w:jc w:val="both"/>
      </w:pPr>
      <w:r>
        <w:t xml:space="preserve">Durante décadas, o planejamento da distribuição baseou-se na premissa de que a energia flui da alta para a baixa tensão, atendendo a cargas passivas. Com a massificação da GD, essa premissa deixou de ser universal. Quando a produção fotovoltaica local supera o consumo instantâneo, o excedente atravessa o ponto de conexão e segue pelo alimentador em direção ao transformador ou à subestação. Conforme define a Lei nº 14.300/2022, energia excedente é a diferença positiva entre a energia injetada e a consumida. Esse fenômeno, conhecido como fluxo reverso, não é necessariamente um defeito; é uma condição operacional prevista em lei. Torna-se problemático apenas quando ultrapassa os limites do planejamento </w:t>
      </w:r>
      <w:r>
        <w:lastRenderedPageBreak/>
        <w:t>original da rede ou interfere nos mecanismos de controle de tensão, reguladores e sistemas de proteção.</w:t>
      </w:r>
    </w:p>
    <w:p w14:paraId="2136736C" w14:textId="0AC685F1" w:rsidR="00AD455F" w:rsidRDefault="00000000">
      <w:pPr>
        <w:spacing w:line="360" w:lineRule="auto"/>
        <w:ind w:firstLine="709"/>
        <w:jc w:val="both"/>
      </w:pPr>
      <w:r>
        <w:t xml:space="preserve">Para ilustrar, considere uma rua residencial que consome 60 kW em determinado horário, mas cujos telhados produzem coletivamente 90 kW ao meio-dia. Os 30 kW excedentes seguem em sentido oposto ao tradicional, podendo elevar a tensão nos pontos de conexão e em barras vizinhas. Estudos de </w:t>
      </w:r>
      <w:r w:rsidR="008379F7">
        <w:t>Long.</w:t>
      </w:r>
      <w:r>
        <w:t>, Elliott e Kirschen demonstram que esse risco depende da impedância da rede, da localização dos geradores e do perfil de consumo. Inversores modernos e coordenados podem auxiliar no controle via potência reativa, mas a infraestrutura convencional nem sempre responde adequadamente. Brito et al., em estudo sobre alimentador rural brasileiro de 34,5 kV, identificaram situações em que reguladores tradicionais perderam eficácia durante a reversão do fluxo.</w:t>
      </w:r>
    </w:p>
    <w:p w14:paraId="40F6C6DC" w14:textId="77777777" w:rsidR="00AD455F" w:rsidRDefault="00000000">
      <w:pPr>
        <w:spacing w:line="360" w:lineRule="auto"/>
        <w:ind w:firstLine="709"/>
        <w:jc w:val="both"/>
      </w:pPr>
      <w:r>
        <w:t>Os transformadores não “queimam automaticamente” com a energia solar, mas sofrem alterações no perfil de carregamento, aquecimento diferenciado e atuação mais frequente de equipamentos reguladores. A proteção elétrica também é afetada: a GD altera magnitude, direção e contribuição das correntes de falta, podendo descoordenar fusíveis, religadores e relés ajustados para falhas unidirecionais. A REN ANEEL nº 956/2021 (PRODIST) estabelece diretrizes rigorosas para esses cenários, reforçando que a conexão de GD exige estudos de impacto que vão além da capacidade nominal do transformador. É crucial, portanto, não afirmar que qualquer painel solar causa fluxo reverso ou danos; os efeitos são dependentes da topologia, da carga e da gestão técnica da rede.</w:t>
      </w:r>
    </w:p>
    <w:p w14:paraId="5637AA7B" w14:textId="77777777" w:rsidR="00AD455F" w:rsidRDefault="00000000">
      <w:pPr>
        <w:pStyle w:val="Ttulo2"/>
      </w:pPr>
      <w:r>
        <w:t>Do local ao sistêmico: hidrelétricas, curtailment e flexibilidade</w:t>
      </w:r>
    </w:p>
    <w:p w14:paraId="3094123E" w14:textId="77777777" w:rsidR="00AD455F" w:rsidRDefault="00000000">
      <w:pPr>
        <w:spacing w:line="360" w:lineRule="auto"/>
        <w:ind w:firstLine="709"/>
        <w:jc w:val="both"/>
      </w:pPr>
      <w:r>
        <w:t>É fundamental separar os efeitos locais na distribuição dos desafios sistêmicos do Sistema Interligado Nacional (SIN). Uma instalação residencial afeta primariamente a rede de baixa tensão. No entanto, a soma de milhares de sistemas modifica a carga líquida percebida pelo Operador Nacional do Sistema Elétrico (ONS). Durante o dia, a GD reduz a demanda atendida pelas grandes usinas, criando um vale na curva de carga. Ao entardecer, quando a produção solar cai abruptamente, o sistema precisa recompor essa energia rapidamente, exigindo flexibilidade das fontes despacháveis.</w:t>
      </w:r>
    </w:p>
    <w:p w14:paraId="3B8C9B08" w14:textId="77777777" w:rsidR="00AD455F" w:rsidRDefault="00000000">
      <w:pPr>
        <w:spacing w:line="360" w:lineRule="auto"/>
        <w:ind w:firstLine="709"/>
        <w:jc w:val="both"/>
      </w:pPr>
      <w:r>
        <w:t xml:space="preserve">Nesse contexto, a relação com as hidrelétricas não é de substituição simples, mas de transformação funcional. A solar não elimina a necessidade de hidrelétricas; ela reduz o valor econômico da geração inflexível e aumenta o valor da flexibilidade. Reservatórios passam a ser operados como baterias naturais, reduzindo a vazão turbinada quando há excesso de sol e </w:t>
      </w:r>
      <w:r>
        <w:lastRenderedPageBreak/>
        <w:t>aumentando-a no pico noturno. Consequentemente, os investimentos podem migrar da construção de novas barragens para modernização, repotenciação, automação e reforços na transmissão. A EPE reconhece que Recursos Energéticos Distribuídos (REDs) podem reduzir perdas técnicas e modificar a necessidade de expansão centralizada, desde que integrados ao planejamento.</w:t>
      </w:r>
    </w:p>
    <w:p w14:paraId="1C2458D3" w14:textId="77777777" w:rsidR="00AD455F" w:rsidRDefault="00000000">
      <w:pPr>
        <w:spacing w:line="360" w:lineRule="auto"/>
        <w:ind w:firstLine="709"/>
        <w:jc w:val="both"/>
      </w:pPr>
      <w:r>
        <w:t>Contudo, a operação do SIN já sente os efeitos da saturação. Em 2024, o ONS registrou taxas de corte (*curtailment*) de fontes renováveis de 9,4%, motivadas por excesso de oferta na carga leve, restrições de confiabilidade ou indisponibilidades de transmissão. Distribuidoras têm recusado pareceres de acesso com base no art. 73 da REN 1.000/2021, alegando inversão de fluxo, embora agentes do setor critiquem a falta de apresentação de alternativas técnicas. Isso evidencia que o gargalo não é apenas físico, mas também de gestão e regulação.</w:t>
      </w:r>
    </w:p>
    <w:p w14:paraId="15C30C37" w14:textId="24E4B00B" w:rsidR="00950F1B" w:rsidRDefault="00950F1B" w:rsidP="00950F1B">
      <w:pPr>
        <w:spacing w:line="360" w:lineRule="auto"/>
        <w:ind w:firstLine="70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4425E73" wp14:editId="312E546B">
                <wp:simplePos x="0" y="0"/>
                <wp:positionH relativeFrom="column">
                  <wp:posOffset>1274445</wp:posOffset>
                </wp:positionH>
                <wp:positionV relativeFrom="paragraph">
                  <wp:posOffset>5715</wp:posOffset>
                </wp:positionV>
                <wp:extent cx="2705100" cy="1485900"/>
                <wp:effectExtent l="57150" t="19050" r="76200" b="95250"/>
                <wp:wrapNone/>
                <wp:docPr id="71165688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14859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100000"/>
                                <a:shade val="100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tint val="50000"/>
                                <a:shade val="100000"/>
                                <a:satMod val="350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14:paraId="6878B6C2" w14:textId="2612820D" w:rsidR="00950F1B" w:rsidRDefault="00950F1B" w:rsidP="00950F1B">
                            <w:pPr>
                              <w:jc w:val="center"/>
                            </w:pPr>
                            <w:r>
                              <w:t xml:space="preserve">Imagem </w:t>
                            </w:r>
                            <w:r>
                              <w:t>Imagem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425E73" id="_x0000_s1027" style="position:absolute;left:0;text-align:left;margin-left:100.35pt;margin-top:.45pt;width:213pt;height:117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" fillcolor="#3f80cd" strokecolor="#4a7ebb">
                <v:fill color2="#9bc1ff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878B6C2" w14:textId="2612820D" w:rsidR="00950F1B" w:rsidRDefault="00950F1B" w:rsidP="00950F1B">
                      <w:pPr>
                        <w:jc w:val="center"/>
                      </w:pPr>
                      <w:r>
                        <w:t xml:space="preserve">Imagem </w:t>
                      </w:r>
                      <w:r>
                        <w:t>Imagem 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6704" behindDoc="1" locked="0" layoutInCell="1" allowOverlap="1" wp14:anchorId="29E78258" wp14:editId="0CA428D2">
            <wp:simplePos x="0" y="0"/>
            <wp:positionH relativeFrom="column">
              <wp:posOffset>1274445</wp:posOffset>
            </wp:positionH>
            <wp:positionV relativeFrom="paragraph">
              <wp:posOffset>5080</wp:posOffset>
            </wp:positionV>
            <wp:extent cx="2842260" cy="1600200"/>
            <wp:effectExtent l="0" t="0" r="0" b="0"/>
            <wp:wrapTight wrapText="bothSides">
              <wp:wrapPolygon edited="0">
                <wp:start x="0" y="0"/>
                <wp:lineTo x="0" y="20571"/>
                <wp:lineTo x="290" y="21343"/>
                <wp:lineTo x="20847" y="21343"/>
                <wp:lineTo x="21282" y="20571"/>
                <wp:lineTo x="21137" y="0"/>
                <wp:lineTo x="0" y="0"/>
              </wp:wrapPolygon>
            </wp:wrapTight>
            <wp:docPr id="197275726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AE2599" w14:textId="431CB3D8" w:rsidR="00950F1B" w:rsidRDefault="00950F1B" w:rsidP="00950F1B">
      <w:pPr>
        <w:spacing w:line="360" w:lineRule="auto"/>
        <w:ind w:firstLine="709"/>
        <w:jc w:val="both"/>
      </w:pPr>
    </w:p>
    <w:p w14:paraId="5208EC0C" w14:textId="4628554F" w:rsidR="00950F1B" w:rsidRDefault="00950F1B" w:rsidP="00950F1B">
      <w:pPr>
        <w:spacing w:line="360" w:lineRule="auto"/>
        <w:ind w:firstLine="709"/>
        <w:jc w:val="both"/>
      </w:pPr>
    </w:p>
    <w:p w14:paraId="498023FA" w14:textId="504A8A37" w:rsidR="00950F1B" w:rsidRDefault="00950F1B" w:rsidP="00950F1B">
      <w:pPr>
        <w:spacing w:line="360" w:lineRule="auto"/>
        <w:ind w:firstLine="709"/>
        <w:jc w:val="both"/>
      </w:pPr>
    </w:p>
    <w:p w14:paraId="6074F36D" w14:textId="77777777" w:rsidR="00950F1B" w:rsidRDefault="00950F1B">
      <w:pPr>
        <w:spacing w:line="360" w:lineRule="auto"/>
        <w:ind w:firstLine="709"/>
        <w:jc w:val="both"/>
      </w:pPr>
    </w:p>
    <w:p w14:paraId="3970651A" w14:textId="77777777" w:rsidR="00AD455F" w:rsidRDefault="00000000">
      <w:pPr>
        <w:pStyle w:val="Ttulo2"/>
      </w:pPr>
      <w:r>
        <w:t>A dimensão jurídica e tarifária: sinais econômicos e segurança regulatória</w:t>
      </w:r>
    </w:p>
    <w:p w14:paraId="27E3771B" w14:textId="77777777" w:rsidR="00AD455F" w:rsidRDefault="00000000">
      <w:pPr>
        <w:spacing w:line="360" w:lineRule="auto"/>
        <w:ind w:firstLine="709"/>
        <w:jc w:val="both"/>
      </w:pPr>
      <w:r>
        <w:t>A integração técnica da GD é indissociável de seu arcabouço jurídico e econômico. Recentemente, o Parecer nº 00166/2026/PFANEEL/PGF/AGU reafirmou que a ANEEL possui competência legal para aplicar tarifas horárias (como a Tarifa Branca) a consumidores-geradores do Grupo B, inclusive durante o período de transição da Lei 14.300/2022. O parecer esclarece que a lei garante apenas o cronograma gradual de cobrança das componentes tarifárias não associadas ao custo da energia (como o Fio B), não assegurando direito adquirido à tarifa convencional nem congelamento da modalidade tarifária. A apuração por posto tarifário e a conversão de créditos em postos distintos já são elementos estruturantes do Marco Legal.</w:t>
      </w:r>
    </w:p>
    <w:p w14:paraId="5C5D066C" w14:textId="77777777" w:rsidR="00AD455F" w:rsidRDefault="00000000">
      <w:pPr>
        <w:spacing w:line="360" w:lineRule="auto"/>
        <w:ind w:firstLine="709"/>
        <w:jc w:val="both"/>
      </w:pPr>
      <w:r>
        <w:t xml:space="preserve">Entretanto, essa posição regulatória colide com entendimentos do Poder Judiciário. Diversos Tribunais de Justiça estaduais (TJMT, TJMS, TJTO, TJPB) têm proferido decisões favoráveis aos consumidores, reconhecendo ato jurídico perfeito e proteção da confiança legítima para quem realizou investimentos sob regras anteriores. A exigência da REN 1.059/2023 de reenquadrar consumidores B-Optantes com excedentes remotos no Grupo A, </w:t>
      </w:r>
      <w:r>
        <w:lastRenderedPageBreak/>
        <w:t>com contratação obrigatória de demanda, gerou forte judicialização. Enquanto a ANEEL entende que a modalidade tarifária faz parte de um regime dinâmico, os tribunais consideram que alterações unilaterais violam a segurança jurídica do investidor.</w:t>
      </w:r>
    </w:p>
    <w:p w14:paraId="77CC3F3D" w14:textId="77777777" w:rsidR="00AD455F" w:rsidRDefault="00000000">
      <w:pPr>
        <w:spacing w:line="360" w:lineRule="auto"/>
        <w:ind w:firstLine="709"/>
        <w:jc w:val="both"/>
      </w:pPr>
      <w:r>
        <w:t>Adicionalmente, a valoração dos custos e benefícios da MMGD, prevista no art. 17 da Lei 14.300/2022, deveria ter sido concluída até julho de 2024. Devido a atrasos nas diretrizes do CNPE, a Tomada de Subsídios nº 23/2025 foi aberta apenas no final de 2025, gerando incerteza sobre a precificação pós-2028 e afetando a bancabilidade de novos projetos. A partir de 2026, consumidores com sistemas homologados após janeiro de 2023 passam a pagar 60% do Fio B, abatendo apenas 40% na compensação. Essa transição econômica, combinada com a indefinição regulatória futura, cria um cenário de risco que precisa ser considerado no planejamento da rede e dos investimentos.</w:t>
      </w:r>
    </w:p>
    <w:p w14:paraId="71A2F77A" w14:textId="77777777" w:rsidR="00AD455F" w:rsidRDefault="00000000">
      <w:pPr>
        <w:pStyle w:val="Ttulo2"/>
      </w:pPr>
      <w:r>
        <w:t>Armazenamento, REDs e a lição internacional</w:t>
      </w:r>
    </w:p>
    <w:p w14:paraId="13FCE7F4" w14:textId="77777777" w:rsidR="00AD455F" w:rsidRDefault="00000000">
      <w:pPr>
        <w:spacing w:line="360" w:lineRule="auto"/>
        <w:ind w:firstLine="709"/>
        <w:jc w:val="both"/>
      </w:pPr>
      <w:r>
        <w:t>O armazenamento energético e os Recursos Energéticos Distribuídos (REDs) surgem como peças-chave para conciliar a viabilidade técnica e econômica da GD. A Consulta Pública ANEEL nº 033/2026 propõe a atualização do Módulo 3 do PRODIST, estabelecendo requisitos de observabilidade, operabilidade e controlabilidade para baterias, veículos elétricos e cargas gerenciáveis. A norma passa a focar no comportamento dos equipamentos (injetando ou absorvendo energia de forma controlável) e não apenas na tecnologia. Isso prepara a rede para o fluxo bidirecional e permite que o sinal econômico da tarifa horária seja efetivamente respondido pelos ativos distribuídos.</w:t>
      </w:r>
    </w:p>
    <w:p w14:paraId="685B2D04" w14:textId="77777777" w:rsidR="00AD455F" w:rsidRDefault="00000000">
      <w:pPr>
        <w:spacing w:line="360" w:lineRule="auto"/>
        <w:ind w:firstLine="709"/>
        <w:jc w:val="both"/>
      </w:pPr>
      <w:r>
        <w:t>Sem baterias, o consumidor solar gera excedentes fora de ponta e consome na ponta, limitando os benefícios da tarifa horária. Com armazenamento normatizado e controlável, é possível guardar energia ao meio-dia para consumi-la ou injetá-la no horário de pico, maximizando o valor econômico e aliviando a rede. A CP 033/2026 constrói o arcabouço técnico para que a rede brasileira absorva a massificação de baterias, alinhando-se à valoração da MMGD e mitigando problemas operacionais como fluxo reverso e *curtailment*.</w:t>
      </w:r>
    </w:p>
    <w:p w14:paraId="0CDAE732" w14:textId="28661CD2" w:rsidR="00AD455F" w:rsidRDefault="00000000">
      <w:pPr>
        <w:spacing w:line="360" w:lineRule="auto"/>
        <w:ind w:firstLine="709"/>
        <w:jc w:val="both"/>
      </w:pPr>
      <w:r>
        <w:t xml:space="preserve">A experiência internacional da Califórnia oferece lições valiosas. A evolução do Net Energy Metering (NEM) para o NEM 3.0 reduziu o valor dos créditos de injeção em até 75%, baseando-se nos custos evitados da rede e impondo tarifas por horário de uso (TOU). Isso incentivou diretamente a instalação de baterias, tornando-as indispensáveis para a viabilidade financeira dos sistemas solares. No Brasil, a trajetória é similar: a tarifa horária e a valoração da MMGD atuam de forma coordenada para sinalizar o valor real da energia em cada horário. </w:t>
      </w:r>
      <w:r>
        <w:lastRenderedPageBreak/>
        <w:t>Entidades como CCEE e ABRACEEL defendem ainda a criação da figura do agregador de carga para permitir que prossumidores vendam excedentes no Mercado Livre. Contudo, estudos indicam que o PL 414/2021, em sua forma atual, contempla apenas autoprodutores; para incluir prossumidores residenciais e comerciais, será necessária alteração específica na Lei 14.300/2022.</w:t>
      </w:r>
    </w:p>
    <w:p w14:paraId="0813A482" w14:textId="3535E4CE" w:rsidR="00950F1B" w:rsidRDefault="00950F1B">
      <w:pPr>
        <w:spacing w:line="360" w:lineRule="auto"/>
        <w:ind w:firstLine="70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9785A1" wp14:editId="742EC69E">
                <wp:simplePos x="0" y="0"/>
                <wp:positionH relativeFrom="column">
                  <wp:posOffset>1678305</wp:posOffset>
                </wp:positionH>
                <wp:positionV relativeFrom="paragraph">
                  <wp:posOffset>146050</wp:posOffset>
                </wp:positionV>
                <wp:extent cx="2369820" cy="1104900"/>
                <wp:effectExtent l="0" t="0" r="11430" b="19050"/>
                <wp:wrapNone/>
                <wp:docPr id="1034682020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9BAFEB" w14:textId="3407BECC" w:rsidR="00950F1B" w:rsidRDefault="00950F1B" w:rsidP="00950F1B">
                            <w:pPr>
                              <w:jc w:val="center"/>
                            </w:pPr>
                            <w:r>
                              <w:t>Imagem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9785A1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8" type="#_x0000_t202" style="position:absolute;left:0;text-align:left;margin-left:132.15pt;margin-top:11.5pt;width:186.6pt;height:8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" fillcolor="white [3201]" strokeweight=".5pt">
                <v:textbox>
                  <w:txbxContent>
                    <w:p w14:paraId="429BAFEB" w14:textId="3407BECC" w:rsidR="00950F1B" w:rsidRDefault="00950F1B" w:rsidP="00950F1B">
                      <w:pPr>
                        <w:jc w:val="center"/>
                      </w:pPr>
                      <w:r>
                        <w:t>Imagem 2</w:t>
                      </w:r>
                    </w:p>
                  </w:txbxContent>
                </v:textbox>
              </v:shape>
            </w:pict>
          </mc:Fallback>
        </mc:AlternateContent>
      </w:r>
    </w:p>
    <w:p w14:paraId="11F6ACAB" w14:textId="77777777" w:rsidR="00950F1B" w:rsidRDefault="00950F1B">
      <w:pPr>
        <w:spacing w:line="360" w:lineRule="auto"/>
        <w:ind w:firstLine="709"/>
        <w:jc w:val="both"/>
      </w:pPr>
    </w:p>
    <w:p w14:paraId="3A8AE489" w14:textId="5F6A5AD2" w:rsidR="00950F1B" w:rsidRDefault="00950F1B">
      <w:pPr>
        <w:spacing w:line="360" w:lineRule="auto"/>
        <w:ind w:firstLine="709"/>
        <w:jc w:val="both"/>
      </w:pPr>
    </w:p>
    <w:p w14:paraId="07143E78" w14:textId="77777777" w:rsidR="00950F1B" w:rsidRDefault="00950F1B">
      <w:pPr>
        <w:spacing w:line="360" w:lineRule="auto"/>
        <w:ind w:firstLine="709"/>
        <w:jc w:val="both"/>
      </w:pPr>
    </w:p>
    <w:p w14:paraId="47273636" w14:textId="77777777" w:rsidR="00950F1B" w:rsidRDefault="00950F1B">
      <w:pPr>
        <w:spacing w:line="360" w:lineRule="auto"/>
        <w:ind w:firstLine="709"/>
        <w:jc w:val="both"/>
      </w:pPr>
    </w:p>
    <w:p w14:paraId="31C1CEC8" w14:textId="77777777" w:rsidR="00AD074B" w:rsidRDefault="00AD074B" w:rsidP="00AD074B">
      <w:pPr>
        <w:pStyle w:val="Ttulo1"/>
      </w:pPr>
      <w:r>
        <w:t>Tabela: Prós e Contras do Uso de Painéis Solares em Geração Distribuída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D074B" w14:paraId="63AF6ADF" w14:textId="77777777" w:rsidTr="00992630">
        <w:trPr>
          <w:jc w:val="center"/>
        </w:trPr>
        <w:tc>
          <w:tcPr>
            <w:tcW w:w="3135" w:type="dxa"/>
          </w:tcPr>
          <w:p w14:paraId="73269B88" w14:textId="77777777" w:rsidR="00AD074B" w:rsidRDefault="00AD074B" w:rsidP="00992630">
            <w:r>
              <w:rPr>
                <w:b/>
                <w:sz w:val="18"/>
              </w:rPr>
              <w:t>Aspecto</w:t>
            </w:r>
          </w:p>
        </w:tc>
        <w:tc>
          <w:tcPr>
            <w:tcW w:w="3135" w:type="dxa"/>
          </w:tcPr>
          <w:p w14:paraId="2B29982F" w14:textId="77777777" w:rsidR="00AD074B" w:rsidRDefault="00AD074B" w:rsidP="00992630">
            <w:r>
              <w:rPr>
                <w:b/>
                <w:sz w:val="18"/>
              </w:rPr>
              <w:t xml:space="preserve">Prós e Contras </w:t>
            </w:r>
          </w:p>
        </w:tc>
        <w:tc>
          <w:tcPr>
            <w:tcW w:w="3135" w:type="dxa"/>
          </w:tcPr>
          <w:p w14:paraId="75C00C93" w14:textId="77777777" w:rsidR="00AD074B" w:rsidRDefault="00AD074B" w:rsidP="00992630">
            <w:r>
              <w:rPr>
                <w:b/>
                <w:sz w:val="18"/>
              </w:rPr>
              <w:t>Desafios Técnicos e Regulatórios</w:t>
            </w:r>
          </w:p>
        </w:tc>
      </w:tr>
      <w:tr w:rsidR="00AD074B" w14:paraId="5F699808" w14:textId="77777777" w:rsidTr="00992630">
        <w:trPr>
          <w:jc w:val="center"/>
        </w:trPr>
        <w:tc>
          <w:tcPr>
            <w:tcW w:w="3135" w:type="dxa"/>
          </w:tcPr>
          <w:p w14:paraId="5BA3D66F" w14:textId="77777777" w:rsidR="00AD074B" w:rsidRDefault="00AD074B" w:rsidP="00992630">
            <w:r>
              <w:rPr>
                <w:sz w:val="18"/>
              </w:rPr>
              <w:t>Rede Elétrica Local</w:t>
            </w:r>
          </w:p>
        </w:tc>
        <w:tc>
          <w:tcPr>
            <w:tcW w:w="3135" w:type="dxa"/>
          </w:tcPr>
          <w:p w14:paraId="37664FF8" w14:textId="77777777" w:rsidR="00AD074B" w:rsidRDefault="00AD074B" w:rsidP="00992630">
            <w:r>
              <w:rPr>
                <w:sz w:val="18"/>
              </w:rPr>
              <w:t>Redução de perdas técnicas quando geração e consumo coincidem; alívio de carregamento em horários de pico diurno; postergação de investimentos em expansão.</w:t>
            </w:r>
          </w:p>
        </w:tc>
        <w:tc>
          <w:tcPr>
            <w:tcW w:w="3135" w:type="dxa"/>
          </w:tcPr>
          <w:p w14:paraId="6B16A94B" w14:textId="77777777" w:rsidR="00AD074B" w:rsidRDefault="00AD074B" w:rsidP="00992630">
            <w:r>
              <w:rPr>
                <w:sz w:val="18"/>
              </w:rPr>
              <w:t>Possibilidade de fluxo reverso e sobretensão em alimentadores longos; descoordenação de proteções tradicionais; envelhecimento acelerado de reguladores e transformadores.</w:t>
            </w:r>
          </w:p>
        </w:tc>
      </w:tr>
      <w:tr w:rsidR="00AD074B" w14:paraId="3C7F0309" w14:textId="77777777" w:rsidTr="00992630">
        <w:trPr>
          <w:jc w:val="center"/>
        </w:trPr>
        <w:tc>
          <w:tcPr>
            <w:tcW w:w="3135" w:type="dxa"/>
          </w:tcPr>
          <w:p w14:paraId="70FA596C" w14:textId="77777777" w:rsidR="00AD074B" w:rsidRDefault="00AD074B" w:rsidP="00992630">
            <w:r>
              <w:rPr>
                <w:sz w:val="18"/>
              </w:rPr>
              <w:t>Sistema Interligado (SIN)</w:t>
            </w:r>
          </w:p>
        </w:tc>
        <w:tc>
          <w:tcPr>
            <w:tcW w:w="3135" w:type="dxa"/>
          </w:tcPr>
          <w:p w14:paraId="4F45815D" w14:textId="77777777" w:rsidR="00AD074B" w:rsidRDefault="00AD074B" w:rsidP="00992630">
            <w:r>
              <w:rPr>
                <w:sz w:val="18"/>
              </w:rPr>
              <w:t>Redução da carga líquida diurna e do despacho térmico; valorização da flexibilidade hidrelétrica; redução de emissões.</w:t>
            </w:r>
          </w:p>
        </w:tc>
        <w:tc>
          <w:tcPr>
            <w:tcW w:w="3135" w:type="dxa"/>
          </w:tcPr>
          <w:p w14:paraId="3880B3D0" w14:textId="77777777" w:rsidR="00AD074B" w:rsidRDefault="00AD074B" w:rsidP="00992630">
            <w:r>
              <w:rPr>
                <w:sz w:val="18"/>
              </w:rPr>
              <w:t>Necessidade de recomposição rápida de carga ao entardecer (rampa); *curtailment* de renováveis (9,4% em 2024); negativas de conexão por inversão de fluxo.</w:t>
            </w:r>
          </w:p>
        </w:tc>
      </w:tr>
      <w:tr w:rsidR="00AD074B" w14:paraId="4DE1B6AA" w14:textId="77777777" w:rsidTr="00992630">
        <w:trPr>
          <w:jc w:val="center"/>
        </w:trPr>
        <w:tc>
          <w:tcPr>
            <w:tcW w:w="3135" w:type="dxa"/>
          </w:tcPr>
          <w:p w14:paraId="6FA44D41" w14:textId="77777777" w:rsidR="00AD074B" w:rsidRDefault="00AD074B" w:rsidP="00992630">
            <w:r>
              <w:rPr>
                <w:sz w:val="18"/>
              </w:rPr>
              <w:t>Regulação e Economia</w:t>
            </w:r>
          </w:p>
        </w:tc>
        <w:tc>
          <w:tcPr>
            <w:tcW w:w="3135" w:type="dxa"/>
          </w:tcPr>
          <w:p w14:paraId="0D34A06A" w14:textId="77777777" w:rsidR="00AD074B" w:rsidRDefault="00AD074B" w:rsidP="00992630">
            <w:r>
              <w:rPr>
                <w:sz w:val="18"/>
              </w:rPr>
              <w:t>Marco Legal (Lei 14.300) traz segurança jurídica parcial e reconhece armazenamento/microrredes; tarifa horária sinaliza valor real da energia; transição gradual do Fio B.</w:t>
            </w:r>
          </w:p>
        </w:tc>
        <w:tc>
          <w:tcPr>
            <w:tcW w:w="3135" w:type="dxa"/>
          </w:tcPr>
          <w:p w14:paraId="36FAC844" w14:textId="77777777" w:rsidR="00AD074B" w:rsidRDefault="00AD074B" w:rsidP="00992630">
            <w:r>
              <w:rPr>
                <w:sz w:val="18"/>
              </w:rPr>
              <w:t>Conflitos judiciais sobre direito adquirido e reenquadramento tarifário; indefinição na valoração dos custos/benefícios pós-2028; risco regulatório afeta bancabilidade de projetos.</w:t>
            </w:r>
          </w:p>
        </w:tc>
      </w:tr>
      <w:tr w:rsidR="00AD074B" w14:paraId="0FDB447A" w14:textId="77777777" w:rsidTr="00992630">
        <w:trPr>
          <w:jc w:val="center"/>
        </w:trPr>
        <w:tc>
          <w:tcPr>
            <w:tcW w:w="3135" w:type="dxa"/>
          </w:tcPr>
          <w:p w14:paraId="6729690E" w14:textId="77777777" w:rsidR="00AD074B" w:rsidRDefault="00AD074B" w:rsidP="00992630">
            <w:r>
              <w:rPr>
                <w:sz w:val="18"/>
              </w:rPr>
              <w:t>Armazenamento e REDs</w:t>
            </w:r>
          </w:p>
        </w:tc>
        <w:tc>
          <w:tcPr>
            <w:tcW w:w="3135" w:type="dxa"/>
          </w:tcPr>
          <w:p w14:paraId="3AB01AFF" w14:textId="77777777" w:rsidR="00AD074B" w:rsidRDefault="00AD074B" w:rsidP="00992630">
            <w:r>
              <w:rPr>
                <w:sz w:val="18"/>
              </w:rPr>
              <w:t>Baterias permitem resposta a sinais de preço e alívio da rede; CP 033/2026 estabelece requisitos de controlabilidade e observabilidade; incentivo ao autoconsumo inteligente.</w:t>
            </w:r>
          </w:p>
        </w:tc>
        <w:tc>
          <w:tcPr>
            <w:tcW w:w="3135" w:type="dxa"/>
          </w:tcPr>
          <w:p w14:paraId="11088B78" w14:textId="77777777" w:rsidR="00AD074B" w:rsidRDefault="00AD074B" w:rsidP="00992630">
            <w:r>
              <w:rPr>
                <w:sz w:val="18"/>
              </w:rPr>
              <w:t>Custo adicional de investimento; necessidade de padronização e interoperabilidade; bateria mal operada pode agravar problemas de rede; dependência de incentivos corretos.</w:t>
            </w:r>
          </w:p>
        </w:tc>
      </w:tr>
      <w:tr w:rsidR="00AD074B" w14:paraId="7AE9B4B8" w14:textId="77777777" w:rsidTr="00992630">
        <w:trPr>
          <w:jc w:val="center"/>
        </w:trPr>
        <w:tc>
          <w:tcPr>
            <w:tcW w:w="3135" w:type="dxa"/>
          </w:tcPr>
          <w:p w14:paraId="69DEB38A" w14:textId="77777777" w:rsidR="00AD074B" w:rsidRDefault="00AD074B" w:rsidP="00992630">
            <w:r>
              <w:rPr>
                <w:sz w:val="18"/>
              </w:rPr>
              <w:t>Mercado e Emprego</w:t>
            </w:r>
          </w:p>
        </w:tc>
        <w:tc>
          <w:tcPr>
            <w:tcW w:w="3135" w:type="dxa"/>
          </w:tcPr>
          <w:p w14:paraId="1F9AB051" w14:textId="77777777" w:rsidR="00AD074B" w:rsidRDefault="00AD074B" w:rsidP="00992630">
            <w:r>
              <w:rPr>
                <w:sz w:val="18"/>
              </w:rPr>
              <w:t>Geração de empregos distribuídos e capilares; democratização do acesso à energia; criação de nichos em automação, armazenamento e serviços de flexibilidade.</w:t>
            </w:r>
          </w:p>
        </w:tc>
        <w:tc>
          <w:tcPr>
            <w:tcW w:w="3135" w:type="dxa"/>
          </w:tcPr>
          <w:p w14:paraId="0C6ADE95" w14:textId="77777777" w:rsidR="00AD074B" w:rsidRDefault="00AD074B" w:rsidP="00992630">
            <w:r>
              <w:rPr>
                <w:sz w:val="18"/>
              </w:rPr>
              <w:t>Dependência de importação de equipamentos; redução de empregos em construção de grandes obras civis; incerteza sobre comercialização de excedentes no Mercado Livre.</w:t>
            </w:r>
          </w:p>
        </w:tc>
      </w:tr>
    </w:tbl>
    <w:p w14:paraId="12F73BE7" w14:textId="77777777" w:rsidR="00AD074B" w:rsidRDefault="00AD074B">
      <w:pPr>
        <w:spacing w:line="360" w:lineRule="auto"/>
        <w:ind w:firstLine="709"/>
        <w:jc w:val="both"/>
      </w:pPr>
    </w:p>
    <w:p w14:paraId="44E41C7D" w14:textId="77777777" w:rsidR="00AD455F" w:rsidRDefault="00000000">
      <w:pPr>
        <w:pStyle w:val="Ttulo2"/>
      </w:pPr>
      <w:r>
        <w:lastRenderedPageBreak/>
        <w:t>Transformação do mercado de trabalho e conclusão</w:t>
      </w:r>
    </w:p>
    <w:p w14:paraId="7E25D181" w14:textId="77777777" w:rsidR="00AD455F" w:rsidRDefault="00000000">
      <w:pPr>
        <w:spacing w:line="360" w:lineRule="auto"/>
        <w:ind w:firstLine="709"/>
        <w:jc w:val="both"/>
      </w:pPr>
      <w:r>
        <w:t>A mudança na matriz elétrica reflete-se diretamente na economia e no emprego. Enquanto grandes hidrelétricas concentram postos de trabalho na fase de construção, a solar distribuída gera empregos capilares em instalação, projeto, vendas e manutenção. A modernização da rede cria vagas especializadas em engenharia, automação, proteção e telecomunicações. Embora a transição possa reduzir oportunidades ligadas a novas barragens, ela cria demandas distribuídas geograficamente. Ressalta-se, contudo, que o benefício nacional depende da cadeia produtiva local; se equipamentos forem majoritariamente importados, parte relevante do valor agregado permanecerá no exterior.</w:t>
      </w:r>
    </w:p>
    <w:p w14:paraId="0BE349DD" w14:textId="77777777" w:rsidR="00AD455F" w:rsidRDefault="00000000">
      <w:pPr>
        <w:spacing w:line="360" w:lineRule="auto"/>
        <w:ind w:firstLine="709"/>
        <w:jc w:val="both"/>
      </w:pPr>
      <w:r>
        <w:t>Em síntese, instalar painéis solares não é um ato isolado, mas parte de uma reconfiguração sistêmica que envolve física, direito, economia e tecnologia. A rede elétrica do futuro será definida pela capacidade de integrar milhões de produtores-consumidores mantendo a confiabilidade, a segurança jurídica e a sustentabilidade econômica. O planejamento adaptativo, a regulação coerente, o investimento em inteligência de rede e a resolução dos conflitos judiciais são os verdadeiros vetores dessa transformação. A solar não é vilã; ela é o catalisador de uma modernização necessária e inevitável.</w:t>
      </w:r>
    </w:p>
    <w:p w14:paraId="2107B611" w14:textId="77777777" w:rsidR="00AD455F" w:rsidRDefault="00AD455F"/>
    <w:p w14:paraId="3FE06A51" w14:textId="77777777" w:rsidR="00AD455F" w:rsidRDefault="00000000">
      <w:pPr>
        <w:pStyle w:val="Ttulo1"/>
      </w:pPr>
      <w:r>
        <w:t>Fontes de Referência</w:t>
      </w:r>
    </w:p>
    <w:p w14:paraId="1F5B827D" w14:textId="3EF40BCB" w:rsidR="00AD455F" w:rsidRDefault="00000000" w:rsidP="00950F1B">
      <w:pPr>
        <w:spacing w:line="360" w:lineRule="auto"/>
      </w:pPr>
      <w:r>
        <w:t xml:space="preserve"> BRASIL. Lei nº 14.300, de 6 de janeiro de 2022. Marco Legal da Microgeração e Minigeração Distribuída e do Sistema de Compensação de Energia Elétrica (SCEE). Disponível em: [https://www.planalto.gov.br/ccivil\_03/\_ato2019-2022/2022/lei/l14300.htm](https://www.planalto.gov.br/ccivil_03/_ato2019-2022/2022/lei/l14300.htm)</w:t>
      </w:r>
    </w:p>
    <w:p w14:paraId="14A9BFD1" w14:textId="73F698F7" w:rsidR="00AD455F" w:rsidRDefault="00000000" w:rsidP="00950F1B">
      <w:pPr>
        <w:spacing w:line="360" w:lineRule="auto"/>
      </w:pPr>
      <w:r>
        <w:t>ANEEL. Resolução Normativa nº 1.000, de 7 de dezembro de 2021. Estabelece as Regras de Fornecimento de Energia Elétrica. Disponível em: [https://www2.aneel.gov.br/cedoc/ren20211000.pdf](https://www2.aneel.gov.br/cedoc/ren20211000.pdf)</w:t>
      </w:r>
    </w:p>
    <w:p w14:paraId="4F307690" w14:textId="68811593" w:rsidR="00AD455F" w:rsidRDefault="00000000" w:rsidP="00950F1B">
      <w:pPr>
        <w:spacing w:line="360" w:lineRule="auto"/>
      </w:pPr>
      <w:r>
        <w:t xml:space="preserve"> ANEEL. Módulo 8 do PRODIST – Qualidade da Energia Elétrica (REN nº 956/2021). Procedimentos de Distribuição de Energia Elétrica no Sistema Elétrico Nacional. Disponível em: [https://www2.aneel.gov.br/cedoc/prodist-modulo8-rev10.pdf](https://www2.aneel.gov.br/cedoc/prodist-modulo8-rev10.pdf)</w:t>
      </w:r>
    </w:p>
    <w:p w14:paraId="114150A7" w14:textId="2E85B6B3" w:rsidR="00AD455F" w:rsidRDefault="00000000" w:rsidP="00950F1B">
      <w:pPr>
        <w:spacing w:line="360" w:lineRule="auto"/>
      </w:pPr>
      <w:r>
        <w:lastRenderedPageBreak/>
        <w:t xml:space="preserve"> ANEEL. Resolução Normativa nº 1.059, de 20 de junho de 2023. Regulamenta a Lei nº 14.300/2022 e consolida normas sobre micro e minigeração distribuída. Disponível em: [https://www2.aneel.gov.br/cedoc/ren20231059.pdf](https://www2.aneel.gov.br/cedoc/ren20231059.pdf)</w:t>
      </w:r>
    </w:p>
    <w:p w14:paraId="11BFBE15" w14:textId="6E97A77D" w:rsidR="00AD455F" w:rsidRDefault="00000000" w:rsidP="00950F1B">
      <w:pPr>
        <w:spacing w:line="360" w:lineRule="auto"/>
      </w:pPr>
      <w:r>
        <w:t>AGÊNCIA iNFRA. Parecer nº 00166/2026/PFANEEL/PGF/AGU. Tarifa Horária aos Consumidores-Geradores: Legalidade e Competência Regulamentar. Disponível em: [https://agenciainfra.com](https://agenciainfra.com/) *(Link institucional de referência)*</w:t>
      </w:r>
    </w:p>
    <w:p w14:paraId="03EBF3F0" w14:textId="4B48879B" w:rsidR="00AD455F" w:rsidRDefault="00000000" w:rsidP="00950F1B">
      <w:pPr>
        <w:spacing w:line="360" w:lineRule="auto"/>
      </w:pPr>
      <w:r>
        <w:t>GOV.BR / ANEEL. Consulta Pública nº 033/2026. Novas Regras de Conexão e Recursos Energéticos Distribuídos (REDs) – Atualização do Módulo 3 do PRODIST. Disponível em: [https://www.gov.br/aneel/pt-br/assuntos/participacao-social/consultas-publicas/2026/cp-033-2026](https://www.gov.br/aneel/pt-br/assuntos/participacao-social/consultas-publicas/2026/cp-033-2026)</w:t>
      </w:r>
    </w:p>
    <w:p w14:paraId="0DF9FC88" w14:textId="33CB3A94" w:rsidR="00AD455F" w:rsidRDefault="00000000" w:rsidP="00950F1B">
      <w:pPr>
        <w:spacing w:line="360" w:lineRule="auto"/>
      </w:pPr>
      <w:r>
        <w:t xml:space="preserve"> ONS – Operador Nacional do Sistema Elétrico. Estudos sobre Excedentes Energéticos, Curtailment e Integração da MMGD ao SIN. Disponível em: [https://www.ons.org.br/paginas/energia-agora/estudos-e-publicacoes](https://www.ons.org.br/paginas/energia-agora/estudos-e-publicacoes)</w:t>
      </w:r>
    </w:p>
    <w:p w14:paraId="4A59A5AD" w14:textId="24E55A00" w:rsidR="00AD455F" w:rsidRDefault="00000000" w:rsidP="00950F1B">
      <w:pPr>
        <w:spacing w:line="360" w:lineRule="auto"/>
      </w:pPr>
      <w:r>
        <w:t xml:space="preserve"> EPE – Empresa de Pesquisa Energética. Plano Decenal de Expansão de Energia (PDE) e Notas Técnicas sobre Recursos Energéticos Distribuídos e Eficiência Energética. Disponível em: [https://www.epe.gov.br/pt/publicacoes-dados-abertos/publicacoes/plano-decenal-de-expansao-de-energia-pde](https://www.epe.gov.br/pt/publicacoes-dados-abertos/publicacoes/plano-decenal-de-expansao-de-energia-pde)</w:t>
      </w:r>
    </w:p>
    <w:p w14:paraId="6C35C77F" w14:textId="43E7BE94" w:rsidR="00AD455F" w:rsidRDefault="00000000" w:rsidP="00950F1B">
      <w:pPr>
        <w:spacing w:line="360" w:lineRule="auto"/>
      </w:pPr>
      <w:r>
        <w:t xml:space="preserve"> BRITO, M. A. G. et al. Reverse power flow and voltage regulation issues in a real Brazilian rural feeder with high PV penetration. *IEEE Latin America Transactions*, 2023.</w:t>
      </w:r>
    </w:p>
    <w:p w14:paraId="66333152" w14:textId="2CE600B9" w:rsidR="00AD455F" w:rsidRDefault="00000000" w:rsidP="00950F1B">
      <w:pPr>
        <w:spacing w:line="360" w:lineRule="auto"/>
      </w:pPr>
      <w:r>
        <w:t xml:space="preserve"> LONG, C.; ELLIOTT, D.; KIRSCHEN, D. S. Coordinated Voltage Control in Distribution Networks with High PV Penetration using Smart Inverters. *IEEE Transactions on Sustainable Energy*, 2022.</w:t>
      </w:r>
    </w:p>
    <w:sectPr w:rsidR="00AD455F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553821">
    <w:abstractNumId w:val="8"/>
  </w:num>
  <w:num w:numId="2" w16cid:durableId="1726948230">
    <w:abstractNumId w:val="6"/>
  </w:num>
  <w:num w:numId="3" w16cid:durableId="1506551501">
    <w:abstractNumId w:val="5"/>
  </w:num>
  <w:num w:numId="4" w16cid:durableId="1281719872">
    <w:abstractNumId w:val="4"/>
  </w:num>
  <w:num w:numId="5" w16cid:durableId="817301898">
    <w:abstractNumId w:val="7"/>
  </w:num>
  <w:num w:numId="6" w16cid:durableId="80110011">
    <w:abstractNumId w:val="3"/>
  </w:num>
  <w:num w:numId="7" w16cid:durableId="1545604393">
    <w:abstractNumId w:val="2"/>
  </w:num>
  <w:num w:numId="8" w16cid:durableId="1637563518">
    <w:abstractNumId w:val="1"/>
  </w:num>
  <w:num w:numId="9" w16cid:durableId="977799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EF2"/>
    <w:rsid w:val="0015074B"/>
    <w:rsid w:val="0029639D"/>
    <w:rsid w:val="00326F90"/>
    <w:rsid w:val="00533810"/>
    <w:rsid w:val="008379F7"/>
    <w:rsid w:val="00877C51"/>
    <w:rsid w:val="00950F1B"/>
    <w:rsid w:val="00AA1D8D"/>
    <w:rsid w:val="00AD074B"/>
    <w:rsid w:val="00AD455F"/>
    <w:rsid w:val="00B47730"/>
    <w:rsid w:val="00CB0664"/>
    <w:rsid w:val="00F01C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595885"/>
  <w14:defaultImageDpi w14:val="300"/>
  <w15:docId w15:val="{CC6BBF12-1BF8-4FC0-97CE-DC8298B71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1425</TotalTime>
  <Pages>7</Pages>
  <Words>2453</Words>
  <Characters>13247</Characters>
  <Application>Microsoft Office Word</Application>
  <DocSecurity>0</DocSecurity>
  <Lines>110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 365</cp:lastModifiedBy>
  <cp:revision>6</cp:revision>
  <dcterms:created xsi:type="dcterms:W3CDTF">2013-12-23T23:15:00Z</dcterms:created>
  <dcterms:modified xsi:type="dcterms:W3CDTF">2026-09-14T18:43:00Z</dcterms:modified>
  <cp:category/>
</cp:coreProperties>
</file>