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9920D" w14:textId="77777777" w:rsidR="002D33DA" w:rsidRDefault="00000000">
      <w:pPr>
        <w:pStyle w:val="Ttulo"/>
      </w:pPr>
      <w:bookmarkStart w:id="0" w:name="X25b565b90fb7b6bf51672a8760a0d5050b46584"/>
      <w:r>
        <w:t>A bomba d’água que não precisa de eletricidade</w:t>
      </w:r>
    </w:p>
    <w:p w14:paraId="5B74A8DB" w14:textId="77777777" w:rsidR="002D33DA" w:rsidRDefault="00000000">
      <w:pPr>
        <w:pStyle w:val="Subttulo"/>
      </w:pPr>
      <w:bookmarkStart w:id="1" w:name="X440b11dd1fcbbeaecb437f8c1a3b78f58bc0211"/>
      <w:r>
        <w:t>Como o carneiro hidráulico usa a própria energia da água para bombear água morro acima</w:t>
      </w:r>
    </w:p>
    <w:p w14:paraId="2BACBCCF" w14:textId="77777777" w:rsidR="00772BFB" w:rsidRPr="00772BFB" w:rsidRDefault="00772BFB" w:rsidP="00772BFB">
      <w:pPr>
        <w:pStyle w:val="Corpodetexto"/>
      </w:pPr>
    </w:p>
    <w:p w14:paraId="5AB86FDD" w14:textId="1F885987" w:rsidR="00772BFB" w:rsidRPr="00772BFB" w:rsidRDefault="00772BFB" w:rsidP="00772BFB">
      <w:pPr>
        <w:pStyle w:val="Corpodetexto"/>
        <w:jc w:val="center"/>
        <w:rPr>
          <w:color w:val="FF0000"/>
        </w:rPr>
      </w:pPr>
      <w:r w:rsidRPr="00772BFB">
        <w:rPr>
          <w:color w:val="FF0000"/>
        </w:rPr>
        <w:t>Imagem Hero</w:t>
      </w:r>
    </w:p>
    <w:p w14:paraId="035C9C0B" w14:textId="77777777" w:rsidR="00772BFB" w:rsidRPr="00772BFB" w:rsidRDefault="00772BFB" w:rsidP="00772BFB">
      <w:pPr>
        <w:pStyle w:val="Corpodetexto"/>
      </w:pPr>
    </w:p>
    <w:p w14:paraId="07B92CAB" w14:textId="77777777" w:rsidR="00056D5B" w:rsidRDefault="00056D5B" w:rsidP="00056D5B">
      <w:bookmarkStart w:id="2" w:name="o-fenômeno-do-golpe-de-aríete"/>
      <w:r>
        <w:t>Em um cenário global onde a segurança energética e hídrica se torna cada vez mais interdependentes, tecnologias que operam à margem das redes convencionais ganham relevância estratégica. Entre elas, o carneiro hidráulico destaca-se como uma solução elegante e resiliente. À primeira vista, sua operação desafia a intuição leiga: como é possível elevar água a dezenas de metros de altura sem motores elétricos, sem combustíveis fósseis, sem painéis fotovoltaicos e sem intervenção humana? A resposta não reside em mística ou em violação das leis da termodinâmica, mas em uma aplicação magistral da conservação de energia, orquestrada por um fenômeno hidrodinâmico conhecido como golpe de aríete.</w:t>
      </w:r>
    </w:p>
    <w:p w14:paraId="65F353F1" w14:textId="77777777" w:rsidR="00056D5B" w:rsidRDefault="00056D5B" w:rsidP="00056D5B">
      <w:r>
        <w:t>A pergunta central que estrutura esta análise é: como uma bomba consegue elevar água sem eletricidade, combustível ou motor, e em quais condições isso realmente funciona? Para responder, devemos primeiramente desmontar a noção equivocada de "energia grátis". O carneiro hidráulico não cria energia; ele a transforma e a redistribui. Ele utiliza a energia potencial gravitacional de uma grande massa de água que desce por uma tubulação para impulsionar uma fração menor dessa mesma água para cima, vencendo a gravidade em uma altura muito superior à da queda inicial. É um sistema de troca termodinâmica: volume por altura.</w:t>
      </w:r>
    </w:p>
    <w:p w14:paraId="117E5C14" w14:textId="77777777" w:rsidR="00772BFB" w:rsidRDefault="00772BFB" w:rsidP="00056D5B"/>
    <w:p w14:paraId="6D0F6057" w14:textId="666B0B2A" w:rsidR="00772BFB" w:rsidRDefault="00772BFB" w:rsidP="00772BFB">
      <w:pPr>
        <w:jc w:val="center"/>
        <w:rPr>
          <w:color w:val="FF0000"/>
        </w:rPr>
      </w:pPr>
      <w:r w:rsidRPr="00772BFB">
        <w:rPr>
          <w:color w:val="FF0000"/>
        </w:rPr>
        <w:t>Imagem 1</w:t>
      </w:r>
    </w:p>
    <w:p w14:paraId="71C7010F" w14:textId="77777777" w:rsidR="00772BFB" w:rsidRDefault="00772BFB" w:rsidP="00772BFB">
      <w:pPr>
        <w:jc w:val="center"/>
        <w:rPr>
          <w:color w:val="FF0000"/>
        </w:rPr>
      </w:pPr>
    </w:p>
    <w:p w14:paraId="2F3AF021" w14:textId="77777777" w:rsidR="00772BFB" w:rsidRPr="00772BFB" w:rsidRDefault="00772BFB" w:rsidP="00772BFB">
      <w:pPr>
        <w:jc w:val="center"/>
        <w:rPr>
          <w:color w:val="FF0000"/>
        </w:rPr>
      </w:pPr>
    </w:p>
    <w:p w14:paraId="27614906" w14:textId="4983E35E" w:rsidR="002D33DA" w:rsidRDefault="00000000">
      <w:pPr>
        <w:pStyle w:val="Ttulo3"/>
        <w:spacing w:before="240" w:after="100"/>
      </w:pPr>
      <w:r>
        <w:t>O fenômeno do golpe de aríete</w:t>
      </w:r>
    </w:p>
    <w:p w14:paraId="5083EAE6" w14:textId="40A4DDDB" w:rsidR="00F37F50" w:rsidRDefault="00F37F50" w:rsidP="00F37F50">
      <w:r>
        <w:t>O coração mecânico do carneiro hidráulico é o golpe de aríete. Esse fenômeno ocorre quando um fluxo de fluido em movimento é interrompido abruptamente, convertendo energia cinética em energia de pressão. Conforme descrito em manuais clássicos de hidráulica, quando a água flui de uma fonte elevada através de um tubo de alimentação e sai pela válvula de impulso, inicialmente aberta, ela ganha velocidade. Ao atingir certa vazão, a força hidrodinâmica empurra a válvula de impulso e provoca seu fechamento súbito. Essa interrupção gera uma onda de sobrepressão denominada golpe de aríete, que abre a válvula de retenção e força a entrada de água na câmara de ar.</w:t>
      </w:r>
    </w:p>
    <w:p w14:paraId="6FD74FA5" w14:textId="77777777" w:rsidR="00F37F50" w:rsidRDefault="00F37F50" w:rsidP="00F37F50">
      <w:r>
        <w:t>A elasticidade do ar na câmara atua como um acumulador de energia, suavizando os pulsos de alta pressão e mantendo um fluxo contínuo para o tubo de recalque. Após o pico de pressão, a válvula de impulso reabre por gravidade ou ação de molas, e o ciclo recomeça. Esse processo rítmico, que ocorre várias vezes por minuto, é a assinatura sonora e funcional do dispositivo. Segundo a FAO, a eficiência desse ciclo depende criticamente da relação entre o comprimento do tubo de alimentação e a altura de queda, sendo essencial para evitar perdas por atrito excessivo ou golpes insuficientes.</w:t>
      </w:r>
    </w:p>
    <w:p w14:paraId="3A3F2817" w14:textId="77777777" w:rsidR="00772BFB" w:rsidRDefault="00772BFB" w:rsidP="00F37F50"/>
    <w:p w14:paraId="6CD1645E" w14:textId="37B506DA" w:rsidR="002D33DA" w:rsidRDefault="00000000">
      <w:pPr>
        <w:pStyle w:val="Ttulo3"/>
        <w:spacing w:before="240" w:after="100"/>
      </w:pPr>
      <w:r>
        <w:t xml:space="preserve">De </w:t>
      </w:r>
      <w:r w:rsidR="00EE3FEB">
        <w:t>o</w:t>
      </w:r>
      <w:r>
        <w:t xml:space="preserve">nde </w:t>
      </w:r>
      <w:r w:rsidR="00EE3FEB">
        <w:t>v</w:t>
      </w:r>
      <w:r>
        <w:t xml:space="preserve">em a </w:t>
      </w:r>
      <w:r w:rsidR="00EE3FEB">
        <w:t>e</w:t>
      </w:r>
      <w:r>
        <w:t xml:space="preserve">nergia? </w:t>
      </w:r>
      <w:r w:rsidR="005E62A9">
        <w:t>Desmistificando</w:t>
      </w:r>
      <w:r>
        <w:t xml:space="preserve"> o “</w:t>
      </w:r>
      <w:r w:rsidR="00EE3FEB">
        <w:t>g</w:t>
      </w:r>
      <w:r>
        <w:t>rátis”</w:t>
      </w:r>
    </w:p>
    <w:p w14:paraId="38046867" w14:textId="77777777" w:rsidR="002D33DA" w:rsidRDefault="00000000">
      <w:pPr>
        <w:pStyle w:val="FirstParagraph"/>
      </w:pPr>
      <w:r>
        <w:t>É imperativo corrigir uma interpretação errada comum: o carneiro não é uma fonte de energia perpétua. A energia necessária para elevar a água provém exclusivamente da queda disponível. A água que desce fornece a energia potencial necessária para que uma parcela menor suba. Se tentarmos bombear muita água para uma altura muito grande sem ter uma vazão suficiente caindo de uma altura adequada, o sistema falhará.</w:t>
      </w:r>
    </w:p>
    <w:p w14:paraId="1C2613CF" w14:textId="77777777" w:rsidR="002D33DA" w:rsidRDefault="00000000">
      <w:pPr>
        <w:pStyle w:val="Corpodetexto"/>
      </w:pPr>
      <w:r>
        <w:t>A relação fundamental obedece ao princípio de conservação de energia, ajustado pelas perdas reais do sistema. A potência disponível na queda ( </w:t>
      </w:r>
      <m:oMath>
        <m:sSub>
          <m:sSubPr>
            <m:ctrlPr>
              <w:rPr>
                <w:rFonts w:ascii="Cambria Math" w:hAnsi="Cambria Math"/>
              </w:rPr>
            </m:ctrlPr>
          </m:sSubPr>
          <m:e>
            <m:r>
              <w:rPr>
                <w:rFonts w:ascii="Cambria Math" w:hAnsi="Cambria Math"/>
              </w:rPr>
              <m:t>P</m:t>
            </m:r>
          </m:e>
          <m:sub>
            <m:r>
              <w:rPr>
                <w:rFonts w:ascii="Cambria Math" w:hAnsi="Cambria Math"/>
              </w:rPr>
              <m:t>d</m:t>
            </m:r>
          </m:sub>
        </m:sSub>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q</m:t>
            </m:r>
          </m:sub>
        </m:sSub>
      </m:oMath>
      <w:r>
        <w:t> ) deve ser significativamente maior que a potência útil no recalque ( </w:t>
      </w:r>
      <m:oMath>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oMath>
      <w:r>
        <w:t> ). Visualmente, imagine um balde grande de água caindo de 2 metros; a energia liberada pode levantar apenas um copo a 20 metros. A troca é clara: sacrificamos volume para ganhar altura. Como faixa indicativa de desempenho, valores entre 40% e 70% dependem do equipamento, do dimensionamento e das condições de instalação.</w:t>
      </w:r>
    </w:p>
    <w:p w14:paraId="722CD184" w14:textId="45E8B60E" w:rsidR="00F37F50" w:rsidRDefault="00F37F50" w:rsidP="00F37F50">
      <w:pPr>
        <w:pStyle w:val="Corpodetexto"/>
      </w:pPr>
      <w:r>
        <w:rPr>
          <w:b/>
          <w:bCs/>
        </w:rPr>
        <w:t>Tabela</w:t>
      </w:r>
      <w:r>
        <w:rPr>
          <w:b/>
          <w:bCs/>
        </w:rPr>
        <w:t xml:space="preserve"> 1:-  Significado das </w:t>
      </w:r>
      <w:r w:rsidR="005E62A9">
        <w:rPr>
          <w:b/>
          <w:bCs/>
        </w:rPr>
        <w:t>fórmulas</w:t>
      </w:r>
    </w:p>
    <w:tbl>
      <w:tblPr>
        <w:tblStyle w:val="Table"/>
        <w:tblW w:w="5000" w:type="pct"/>
        <w:jc w:val="center"/>
        <w:tblLayout w:type="fixed"/>
        <w:tblLook w:val="0020" w:firstRow="1" w:lastRow="0" w:firstColumn="0" w:lastColumn="0" w:noHBand="0" w:noVBand="0"/>
      </w:tblPr>
      <w:tblGrid>
        <w:gridCol w:w="1804"/>
        <w:gridCol w:w="2406"/>
        <w:gridCol w:w="5412"/>
      </w:tblGrid>
      <w:tr w:rsidR="00F37F50" w14:paraId="59246C1A" w14:textId="77777777" w:rsidTr="00E47BA6">
        <w:trPr>
          <w:cnfStyle w:val="100000000000" w:firstRow="1" w:lastRow="0" w:firstColumn="0" w:lastColumn="0" w:oddVBand="0" w:evenVBand="0" w:oddHBand="0" w:evenHBand="0" w:firstRowFirstColumn="0" w:firstRowLastColumn="0" w:lastRowFirstColumn="0" w:lastRowLastColumn="0"/>
          <w:cantSplit/>
          <w:tblHeader/>
          <w:jc w:val="center"/>
        </w:trPr>
        <w:tc>
          <w:tcPr>
            <w:tcW w:w="1701" w:type="dxa"/>
            <w:shd w:val="clear" w:color="auto" w:fill="D9EAF2"/>
            <w:vAlign w:val="center"/>
          </w:tcPr>
          <w:p w14:paraId="3C6E9C48" w14:textId="77777777" w:rsidR="00F37F50" w:rsidRDefault="00F37F50" w:rsidP="00E47BA6">
            <w:pPr>
              <w:pStyle w:val="Compact"/>
              <w:spacing w:before="40" w:after="40"/>
            </w:pPr>
            <w:r>
              <w:rPr>
                <w:b/>
                <w:bCs/>
                <w:sz w:val="19"/>
              </w:rPr>
              <w:t>Símbolo</w:t>
            </w:r>
          </w:p>
        </w:tc>
        <w:tc>
          <w:tcPr>
            <w:tcW w:w="2268" w:type="dxa"/>
            <w:shd w:val="clear" w:color="auto" w:fill="D9EAF2"/>
            <w:vAlign w:val="center"/>
          </w:tcPr>
          <w:p w14:paraId="7A6E3C36" w14:textId="77777777" w:rsidR="00F37F50" w:rsidRDefault="00F37F50" w:rsidP="00E47BA6">
            <w:pPr>
              <w:pStyle w:val="Compact"/>
              <w:spacing w:before="40" w:after="40"/>
            </w:pPr>
            <w:r>
              <w:rPr>
                <w:b/>
                <w:bCs/>
                <w:sz w:val="19"/>
              </w:rPr>
              <w:t>Componente</w:t>
            </w:r>
          </w:p>
        </w:tc>
        <w:tc>
          <w:tcPr>
            <w:tcW w:w="5102" w:type="dxa"/>
            <w:shd w:val="clear" w:color="auto" w:fill="D9EAF2"/>
            <w:vAlign w:val="center"/>
          </w:tcPr>
          <w:p w14:paraId="7208DD73" w14:textId="77777777" w:rsidR="00F37F50" w:rsidRDefault="00F37F50" w:rsidP="00E47BA6">
            <w:pPr>
              <w:pStyle w:val="Compact"/>
              <w:spacing w:before="40" w:after="40"/>
            </w:pPr>
            <w:r>
              <w:rPr>
                <w:b/>
                <w:bCs/>
                <w:sz w:val="19"/>
              </w:rPr>
              <w:t>Descrição física e unidade padrão (SI)</w:t>
            </w:r>
          </w:p>
        </w:tc>
      </w:tr>
      <w:tr w:rsidR="00F37F50" w14:paraId="283ADE50" w14:textId="77777777" w:rsidTr="00E47BA6">
        <w:trPr>
          <w:cantSplit/>
          <w:jc w:val="center"/>
        </w:trPr>
        <w:tc>
          <w:tcPr>
            <w:tcW w:w="1701" w:type="dxa"/>
            <w:vAlign w:val="center"/>
          </w:tcPr>
          <w:p w14:paraId="65540DDD" w14:textId="77777777" w:rsidR="00F37F50" w:rsidRDefault="00F37F50" w:rsidP="00E47BA6">
            <w:pPr>
              <w:pStyle w:val="Compact"/>
              <w:spacing w:before="40" w:after="40"/>
            </w:pPr>
            <m:oMathPara>
              <m:oMath>
                <m:sSub>
                  <m:sSubPr>
                    <m:ctrlPr>
                      <w:rPr>
                        <w:rFonts w:ascii="Cambria Math" w:hAnsi="Cambria Math"/>
                      </w:rPr>
                    </m:ctrlPr>
                  </m:sSubPr>
                  <m:e>
                    <m:r>
                      <w:rPr>
                        <w:rFonts w:ascii="Cambria Math" w:hAnsi="Cambria Math"/>
                      </w:rPr>
                      <m:t>P</m:t>
                    </m:r>
                  </m:e>
                  <m:sub>
                    <m:r>
                      <w:rPr>
                        <w:rFonts w:ascii="Cambria Math" w:hAnsi="Cambria Math"/>
                      </w:rPr>
                      <m:t>d</m:t>
                    </m:r>
                  </m:sub>
                </m:sSub>
              </m:oMath>
            </m:oMathPara>
          </w:p>
        </w:tc>
        <w:tc>
          <w:tcPr>
            <w:tcW w:w="2268" w:type="dxa"/>
            <w:vAlign w:val="center"/>
          </w:tcPr>
          <w:p w14:paraId="64A4D11E" w14:textId="77777777" w:rsidR="00F37F50" w:rsidRDefault="00F37F50" w:rsidP="00E47BA6">
            <w:pPr>
              <w:pStyle w:val="Compact"/>
              <w:spacing w:before="40" w:after="40"/>
            </w:pPr>
            <w:r>
              <w:rPr>
                <w:sz w:val="19"/>
              </w:rPr>
              <w:t>Potência Disponível</w:t>
            </w:r>
          </w:p>
        </w:tc>
        <w:tc>
          <w:tcPr>
            <w:tcW w:w="5102" w:type="dxa"/>
            <w:vAlign w:val="center"/>
          </w:tcPr>
          <w:p w14:paraId="21F75314" w14:textId="0672A3F0" w:rsidR="00F37F50" w:rsidRDefault="00F37F50" w:rsidP="00E47BA6">
            <w:pPr>
              <w:pStyle w:val="Compact"/>
              <w:spacing w:before="40" w:after="40"/>
            </w:pPr>
            <w:r>
              <w:rPr>
                <w:sz w:val="19"/>
              </w:rPr>
              <w:t xml:space="preserve">Energia por unidade de tempo fornecida pela água na queda. Representa a potência teórica máxima extraível do fluxo de </w:t>
            </w:r>
            <w:r w:rsidR="005E62A9">
              <w:rPr>
                <w:sz w:val="19"/>
              </w:rPr>
              <w:t>alimentação.</w:t>
            </w:r>
            <w:r w:rsidR="005E62A9">
              <w:rPr>
                <w:b/>
                <w:bCs/>
                <w:sz w:val="19"/>
              </w:rPr>
              <w:t xml:space="preserve"> Unidade</w:t>
            </w:r>
            <w:r>
              <w:rPr>
                <w:b/>
                <w:bCs/>
                <w:sz w:val="19"/>
              </w:rPr>
              <w:t>:</w:t>
            </w:r>
            <w:r>
              <w:rPr>
                <w:sz w:val="19"/>
              </w:rPr>
              <w:t> Watt (W) ou Joule/segundo (J/s).</w:t>
            </w:r>
          </w:p>
        </w:tc>
      </w:tr>
      <w:tr w:rsidR="00F37F50" w14:paraId="21149611" w14:textId="77777777" w:rsidTr="00E47BA6">
        <w:trPr>
          <w:cantSplit/>
          <w:jc w:val="center"/>
        </w:trPr>
        <w:tc>
          <w:tcPr>
            <w:tcW w:w="1701" w:type="dxa"/>
            <w:vAlign w:val="center"/>
          </w:tcPr>
          <w:p w14:paraId="756F77CE" w14:textId="77777777" w:rsidR="00F37F50" w:rsidRDefault="00F37F50" w:rsidP="00E47BA6">
            <w:pPr>
              <w:pStyle w:val="Compact"/>
              <w:spacing w:before="40" w:after="40"/>
            </w:pPr>
            <m:oMathPara>
              <m:oMath>
                <m:sSub>
                  <m:sSubPr>
                    <m:ctrlPr>
                      <w:rPr>
                        <w:rFonts w:ascii="Cambria Math" w:hAnsi="Cambria Math"/>
                      </w:rPr>
                    </m:ctrlPr>
                  </m:sSubPr>
                  <m:e>
                    <m:r>
                      <w:rPr>
                        <w:rFonts w:ascii="Cambria Math" w:hAnsi="Cambria Math"/>
                      </w:rPr>
                      <m:t>P</m:t>
                    </m:r>
                  </m:e>
                  <m:sub>
                    <m:r>
                      <w:rPr>
                        <w:rFonts w:ascii="Cambria Math" w:hAnsi="Cambria Math"/>
                      </w:rPr>
                      <m:t>u</m:t>
                    </m:r>
                  </m:sub>
                </m:sSub>
              </m:oMath>
            </m:oMathPara>
          </w:p>
        </w:tc>
        <w:tc>
          <w:tcPr>
            <w:tcW w:w="2268" w:type="dxa"/>
            <w:vAlign w:val="center"/>
          </w:tcPr>
          <w:p w14:paraId="50540462" w14:textId="77777777" w:rsidR="00F37F50" w:rsidRDefault="00F37F50" w:rsidP="00E47BA6">
            <w:pPr>
              <w:pStyle w:val="Compact"/>
              <w:spacing w:before="40" w:after="40"/>
            </w:pPr>
            <w:r>
              <w:rPr>
                <w:sz w:val="19"/>
              </w:rPr>
              <w:t>Potência Útil</w:t>
            </w:r>
          </w:p>
        </w:tc>
        <w:tc>
          <w:tcPr>
            <w:tcW w:w="5102" w:type="dxa"/>
            <w:vAlign w:val="center"/>
          </w:tcPr>
          <w:p w14:paraId="423908D4" w14:textId="77777777" w:rsidR="00F37F50" w:rsidRDefault="00F37F50" w:rsidP="00E47BA6">
            <w:pPr>
              <w:pStyle w:val="Compact"/>
              <w:spacing w:before="40" w:after="40"/>
            </w:pPr>
            <w:r>
              <w:rPr>
                <w:sz w:val="19"/>
              </w:rPr>
              <w:t>Energia por unidade de tempo efetivamente entregue à água no ponto de recalque (destino). É sempre menor que </w:t>
            </w:r>
            <m:oMath>
              <m:sSub>
                <m:sSubPr>
                  <m:ctrlPr>
                    <w:rPr>
                      <w:rFonts w:ascii="Cambria Math" w:hAnsi="Cambria Math"/>
                    </w:rPr>
                  </m:ctrlPr>
                </m:sSubPr>
                <m:e>
                  <m:r>
                    <w:rPr>
                      <w:rFonts w:ascii="Cambria Math" w:hAnsi="Cambria Math"/>
                    </w:rPr>
                    <m:t>P</m:t>
                  </m:r>
                </m:e>
                <m:sub>
                  <m:r>
                    <w:rPr>
                      <w:rFonts w:ascii="Cambria Math" w:hAnsi="Cambria Math"/>
                    </w:rPr>
                    <m:t>d</m:t>
                  </m:r>
                </m:sub>
              </m:sSub>
            </m:oMath>
            <w:r>
              <w:rPr>
                <w:sz w:val="19"/>
              </w:rPr>
              <w:t> devido às perdas.</w:t>
            </w:r>
            <w:r>
              <w:rPr>
                <w:b/>
                <w:bCs/>
                <w:sz w:val="19"/>
              </w:rPr>
              <w:t>Unidade:</w:t>
            </w:r>
            <w:r>
              <w:rPr>
                <w:sz w:val="19"/>
              </w:rPr>
              <w:t> Watt (W) ou Joule/segundo (J/s).</w:t>
            </w:r>
          </w:p>
        </w:tc>
      </w:tr>
      <w:tr w:rsidR="00F37F50" w14:paraId="76C34C65" w14:textId="77777777" w:rsidTr="00E47BA6">
        <w:trPr>
          <w:cantSplit/>
          <w:jc w:val="center"/>
        </w:trPr>
        <w:tc>
          <w:tcPr>
            <w:tcW w:w="1701" w:type="dxa"/>
            <w:vAlign w:val="center"/>
          </w:tcPr>
          <w:p w14:paraId="2DCDD6FB" w14:textId="6842C655" w:rsidR="00F37F50" w:rsidRDefault="00F37F50" w:rsidP="00E47BA6">
            <w:pPr>
              <w:pStyle w:val="Compact"/>
              <w:spacing w:before="40" w:after="40"/>
            </w:pPr>
            <m:oMathPara>
              <m:oMath>
                <m:r>
                  <w:rPr>
                    <w:rFonts w:ascii="Cambria Math" w:hAnsi="Cambria Math"/>
                  </w:rPr>
                  <w:lastRenderedPageBreak/>
                  <m:t>ρ</m:t>
                </m:r>
              </m:oMath>
            </m:oMathPara>
          </w:p>
        </w:tc>
        <w:tc>
          <w:tcPr>
            <w:tcW w:w="2268" w:type="dxa"/>
            <w:vAlign w:val="center"/>
          </w:tcPr>
          <w:p w14:paraId="4CBD15A1" w14:textId="77777777" w:rsidR="00F37F50" w:rsidRDefault="00F37F50" w:rsidP="00E47BA6">
            <w:pPr>
              <w:pStyle w:val="Compact"/>
              <w:spacing w:before="40" w:after="40"/>
            </w:pPr>
            <w:r>
              <w:rPr>
                <w:sz w:val="19"/>
              </w:rPr>
              <w:t>Massa Específica da Água</w:t>
            </w:r>
          </w:p>
        </w:tc>
        <w:tc>
          <w:tcPr>
            <w:tcW w:w="5102" w:type="dxa"/>
            <w:vAlign w:val="center"/>
          </w:tcPr>
          <w:p w14:paraId="0CF38F0B" w14:textId="77777777" w:rsidR="00F37F50" w:rsidRDefault="00F37F50" w:rsidP="00E47BA6">
            <w:pPr>
              <w:pStyle w:val="Compact"/>
              <w:spacing w:before="40" w:after="40"/>
            </w:pPr>
            <w:r>
              <w:rPr>
                <w:sz w:val="19"/>
              </w:rPr>
              <w:t>Densidade do fluido sendo bombeado. Para água pura em condições padrão, assume-se aproximadamente 1000 kg/m³.</w:t>
            </w:r>
            <w:r>
              <w:rPr>
                <w:b/>
                <w:bCs/>
                <w:sz w:val="19"/>
              </w:rPr>
              <w:t>Unidade:</w:t>
            </w:r>
            <w:r>
              <w:rPr>
                <w:sz w:val="19"/>
              </w:rPr>
              <w:t> Quilograma por metro cúbico (kg/m³).</w:t>
            </w:r>
          </w:p>
        </w:tc>
      </w:tr>
      <w:tr w:rsidR="00F37F50" w14:paraId="34CFFF01" w14:textId="77777777" w:rsidTr="00E47BA6">
        <w:trPr>
          <w:cantSplit/>
          <w:jc w:val="center"/>
        </w:trPr>
        <w:tc>
          <w:tcPr>
            <w:tcW w:w="1701" w:type="dxa"/>
            <w:vAlign w:val="center"/>
          </w:tcPr>
          <w:p w14:paraId="3D56AFC2" w14:textId="77777777" w:rsidR="00F37F50" w:rsidRDefault="00F37F50" w:rsidP="00E47BA6">
            <w:pPr>
              <w:pStyle w:val="Compact"/>
              <w:spacing w:before="40" w:after="40"/>
            </w:pPr>
            <m:oMathPara>
              <m:oMath>
                <m:r>
                  <w:rPr>
                    <w:rFonts w:ascii="Cambria Math" w:hAnsi="Cambria Math"/>
                  </w:rPr>
                  <m:t>g</m:t>
                </m:r>
              </m:oMath>
            </m:oMathPara>
          </w:p>
        </w:tc>
        <w:tc>
          <w:tcPr>
            <w:tcW w:w="2268" w:type="dxa"/>
            <w:vAlign w:val="center"/>
          </w:tcPr>
          <w:p w14:paraId="41A18310" w14:textId="77777777" w:rsidR="00F37F50" w:rsidRDefault="00F37F50" w:rsidP="00E47BA6">
            <w:pPr>
              <w:pStyle w:val="Compact"/>
              <w:spacing w:before="40" w:after="40"/>
            </w:pPr>
            <w:r>
              <w:rPr>
                <w:sz w:val="19"/>
              </w:rPr>
              <w:t>Aceleração da Gravidade</w:t>
            </w:r>
          </w:p>
        </w:tc>
        <w:tc>
          <w:tcPr>
            <w:tcW w:w="5102" w:type="dxa"/>
            <w:vAlign w:val="center"/>
          </w:tcPr>
          <w:p w14:paraId="6C2DD1A1" w14:textId="77777777" w:rsidR="00F37F50" w:rsidRDefault="00F37F50" w:rsidP="00E47BA6">
            <w:pPr>
              <w:pStyle w:val="Compact"/>
              <w:spacing w:before="40" w:after="40"/>
            </w:pPr>
            <w:r>
              <w:rPr>
                <w:sz w:val="19"/>
              </w:rPr>
              <w:t>Constante física que representa a força gravitacional atuando sobre a massa de água. Valor padrão ao nível do mar: ≈ 9,81 m/s².</w:t>
            </w:r>
            <w:r>
              <w:rPr>
                <w:b/>
                <w:bCs/>
                <w:sz w:val="19"/>
              </w:rPr>
              <w:t>Unidade:</w:t>
            </w:r>
            <w:r>
              <w:rPr>
                <w:sz w:val="19"/>
              </w:rPr>
              <w:t> Metro por segundo ao quadrado (m/s²).</w:t>
            </w:r>
          </w:p>
        </w:tc>
      </w:tr>
      <w:tr w:rsidR="00F37F50" w14:paraId="0A791F16" w14:textId="77777777" w:rsidTr="00E47BA6">
        <w:trPr>
          <w:cantSplit/>
          <w:jc w:val="center"/>
        </w:trPr>
        <w:tc>
          <w:tcPr>
            <w:tcW w:w="1701" w:type="dxa"/>
            <w:vAlign w:val="center"/>
          </w:tcPr>
          <w:p w14:paraId="2A76AA66" w14:textId="77777777" w:rsidR="00F37F50" w:rsidRDefault="00F37F50" w:rsidP="00E47BA6">
            <w:pPr>
              <w:pStyle w:val="Compact"/>
              <w:spacing w:before="40" w:after="40"/>
            </w:pPr>
            <m:oMathPara>
              <m:oMath>
                <m:sSub>
                  <m:sSubPr>
                    <m:ctrlPr>
                      <w:rPr>
                        <w:rFonts w:ascii="Cambria Math" w:hAnsi="Cambria Math"/>
                      </w:rPr>
                    </m:ctrlPr>
                  </m:sSubPr>
                  <m:e>
                    <m:r>
                      <w:rPr>
                        <w:rFonts w:ascii="Cambria Math" w:hAnsi="Cambria Math"/>
                      </w:rPr>
                      <m:t>Q</m:t>
                    </m:r>
                  </m:e>
                  <m:sub>
                    <m:r>
                      <w:rPr>
                        <w:rFonts w:ascii="Cambria Math" w:hAnsi="Cambria Math"/>
                      </w:rPr>
                      <m:t>a</m:t>
                    </m:r>
                  </m:sub>
                </m:sSub>
              </m:oMath>
            </m:oMathPara>
          </w:p>
        </w:tc>
        <w:tc>
          <w:tcPr>
            <w:tcW w:w="2268" w:type="dxa"/>
            <w:vAlign w:val="center"/>
          </w:tcPr>
          <w:p w14:paraId="2573C726" w14:textId="77777777" w:rsidR="00F37F50" w:rsidRDefault="00F37F50" w:rsidP="00E47BA6">
            <w:pPr>
              <w:pStyle w:val="Compact"/>
              <w:spacing w:before="40" w:after="40"/>
            </w:pPr>
            <w:r>
              <w:rPr>
                <w:sz w:val="19"/>
              </w:rPr>
              <w:t>Vazão de Alimentação</w:t>
            </w:r>
          </w:p>
        </w:tc>
        <w:tc>
          <w:tcPr>
            <w:tcW w:w="5102" w:type="dxa"/>
            <w:vAlign w:val="center"/>
          </w:tcPr>
          <w:p w14:paraId="65ABCA34" w14:textId="3598AA7C" w:rsidR="00F37F50" w:rsidRDefault="00F37F50" w:rsidP="00E47BA6">
            <w:pPr>
              <w:pStyle w:val="Compact"/>
              <w:spacing w:before="40" w:after="40"/>
            </w:pPr>
            <w:r>
              <w:rPr>
                <w:sz w:val="19"/>
              </w:rPr>
              <w:t xml:space="preserve">Volume de água que entra no carneiro hidráulico por unidade de tempo, proveniente da fonte com </w:t>
            </w:r>
            <w:r w:rsidR="005E62A9">
              <w:rPr>
                <w:sz w:val="19"/>
              </w:rPr>
              <w:t>desnível.</w:t>
            </w:r>
            <w:r w:rsidR="005E62A9">
              <w:rPr>
                <w:b/>
                <w:bCs/>
                <w:sz w:val="19"/>
              </w:rPr>
              <w:t xml:space="preserve"> Unidade</w:t>
            </w:r>
            <w:r>
              <w:rPr>
                <w:b/>
                <w:bCs/>
                <w:sz w:val="19"/>
              </w:rPr>
              <w:t>:</w:t>
            </w:r>
            <w:r>
              <w:rPr>
                <w:sz w:val="19"/>
              </w:rPr>
              <w:t> Metro cúbico por segundo (m³/s). </w:t>
            </w:r>
            <w:r>
              <w:rPr>
                <w:i/>
                <w:iCs/>
                <w:sz w:val="19"/>
              </w:rPr>
              <w:t>Nota: Em manuais práticos, frequentemente usa-se L/min ou L/s.</w:t>
            </w:r>
          </w:p>
        </w:tc>
      </w:tr>
      <w:tr w:rsidR="00F37F50" w14:paraId="05E9754B" w14:textId="77777777" w:rsidTr="00E47BA6">
        <w:trPr>
          <w:cantSplit/>
          <w:jc w:val="center"/>
        </w:trPr>
        <w:tc>
          <w:tcPr>
            <w:tcW w:w="1701" w:type="dxa"/>
            <w:vAlign w:val="center"/>
          </w:tcPr>
          <w:p w14:paraId="63AA3B93" w14:textId="77777777" w:rsidR="00F37F50" w:rsidRDefault="00F37F50" w:rsidP="00E47BA6">
            <w:pPr>
              <w:pStyle w:val="Compact"/>
              <w:spacing w:before="40" w:after="40"/>
            </w:pPr>
            <m:oMathPara>
              <m:oMath>
                <m:sSub>
                  <m:sSubPr>
                    <m:ctrlPr>
                      <w:rPr>
                        <w:rFonts w:ascii="Cambria Math" w:hAnsi="Cambria Math"/>
                      </w:rPr>
                    </m:ctrlPr>
                  </m:sSubPr>
                  <m:e>
                    <m:r>
                      <w:rPr>
                        <w:rFonts w:ascii="Cambria Math" w:hAnsi="Cambria Math"/>
                      </w:rPr>
                      <m:t>H</m:t>
                    </m:r>
                  </m:e>
                  <m:sub>
                    <m:r>
                      <w:rPr>
                        <w:rFonts w:ascii="Cambria Math" w:hAnsi="Cambria Math"/>
                      </w:rPr>
                      <m:t>q</m:t>
                    </m:r>
                  </m:sub>
                </m:sSub>
              </m:oMath>
            </m:oMathPara>
          </w:p>
        </w:tc>
        <w:tc>
          <w:tcPr>
            <w:tcW w:w="2268" w:type="dxa"/>
            <w:vAlign w:val="center"/>
          </w:tcPr>
          <w:p w14:paraId="14BC532B" w14:textId="77777777" w:rsidR="00F37F50" w:rsidRDefault="00F37F50" w:rsidP="00E47BA6">
            <w:pPr>
              <w:pStyle w:val="Compact"/>
              <w:spacing w:before="40" w:after="40"/>
            </w:pPr>
            <w:r>
              <w:rPr>
                <w:sz w:val="19"/>
              </w:rPr>
              <w:t>Altura de Queda (Desnível)</w:t>
            </w:r>
          </w:p>
        </w:tc>
        <w:tc>
          <w:tcPr>
            <w:tcW w:w="5102" w:type="dxa"/>
            <w:vAlign w:val="center"/>
          </w:tcPr>
          <w:p w14:paraId="17CF4728" w14:textId="10A4B3B9" w:rsidR="00F37F50" w:rsidRDefault="00F37F50" w:rsidP="00E47BA6">
            <w:pPr>
              <w:pStyle w:val="Compact"/>
              <w:spacing w:before="40" w:after="40"/>
            </w:pPr>
            <w:r>
              <w:rPr>
                <w:sz w:val="19"/>
              </w:rPr>
              <w:t xml:space="preserve">Diferença vertical entre o nível da água na fonte e o eixo do carneiro hidráulico. Fornece a energia potencial convertida em </w:t>
            </w:r>
            <w:r w:rsidR="005E62A9">
              <w:rPr>
                <w:sz w:val="19"/>
              </w:rPr>
              <w:t>cinética.</w:t>
            </w:r>
            <w:r w:rsidR="005E62A9">
              <w:rPr>
                <w:b/>
                <w:bCs/>
                <w:sz w:val="19"/>
              </w:rPr>
              <w:t xml:space="preserve"> Unidade</w:t>
            </w:r>
            <w:r>
              <w:rPr>
                <w:b/>
                <w:bCs/>
                <w:sz w:val="19"/>
              </w:rPr>
              <w:t>:</w:t>
            </w:r>
            <w:r>
              <w:rPr>
                <w:sz w:val="19"/>
              </w:rPr>
              <w:t> Metro (m).</w:t>
            </w:r>
          </w:p>
        </w:tc>
      </w:tr>
      <w:tr w:rsidR="00F37F50" w14:paraId="0BC88454" w14:textId="77777777" w:rsidTr="00E47BA6">
        <w:trPr>
          <w:cantSplit/>
          <w:jc w:val="center"/>
        </w:trPr>
        <w:tc>
          <w:tcPr>
            <w:tcW w:w="1701" w:type="dxa"/>
            <w:vAlign w:val="center"/>
          </w:tcPr>
          <w:p w14:paraId="684574B8" w14:textId="77777777" w:rsidR="00F37F50" w:rsidRDefault="00F37F50" w:rsidP="00E47BA6">
            <w:pPr>
              <w:pStyle w:val="Compact"/>
              <w:spacing w:before="40" w:after="40"/>
            </w:pPr>
            <m:oMathPara>
              <m:oMath>
                <m:sSub>
                  <m:sSubPr>
                    <m:ctrlPr>
                      <w:rPr>
                        <w:rFonts w:ascii="Cambria Math" w:hAnsi="Cambria Math"/>
                      </w:rPr>
                    </m:ctrlPr>
                  </m:sSubPr>
                  <m:e>
                    <m:r>
                      <w:rPr>
                        <w:rFonts w:ascii="Cambria Math" w:hAnsi="Cambria Math"/>
                      </w:rPr>
                      <m:t>Q</m:t>
                    </m:r>
                  </m:e>
                  <m:sub>
                    <m:r>
                      <w:rPr>
                        <w:rFonts w:ascii="Cambria Math" w:hAnsi="Cambria Math"/>
                      </w:rPr>
                      <m:t>r</m:t>
                    </m:r>
                  </m:sub>
                </m:sSub>
              </m:oMath>
            </m:oMathPara>
          </w:p>
        </w:tc>
        <w:tc>
          <w:tcPr>
            <w:tcW w:w="2268" w:type="dxa"/>
            <w:vAlign w:val="center"/>
          </w:tcPr>
          <w:p w14:paraId="4B9B92B5" w14:textId="77777777" w:rsidR="00F37F50" w:rsidRDefault="00F37F50" w:rsidP="00E47BA6">
            <w:pPr>
              <w:pStyle w:val="Compact"/>
              <w:spacing w:before="40" w:after="40"/>
            </w:pPr>
            <w:r>
              <w:rPr>
                <w:sz w:val="19"/>
              </w:rPr>
              <w:t>Vazão de Recalque</w:t>
            </w:r>
          </w:p>
        </w:tc>
        <w:tc>
          <w:tcPr>
            <w:tcW w:w="5102" w:type="dxa"/>
            <w:vAlign w:val="center"/>
          </w:tcPr>
          <w:p w14:paraId="2A57F7C2" w14:textId="77777777" w:rsidR="00F37F50" w:rsidRDefault="00F37F50" w:rsidP="00E47BA6">
            <w:pPr>
              <w:pStyle w:val="Compact"/>
              <w:spacing w:before="40" w:after="40"/>
            </w:pPr>
            <w:r>
              <w:rPr>
                <w:sz w:val="19"/>
              </w:rPr>
              <w:t>Volume de água efetivamente elevado e entregue no reservatório superior por unidade de tempo. É uma fração da </w:t>
            </w:r>
            <m:oMath>
              <m:sSub>
                <m:sSubPr>
                  <m:ctrlPr>
                    <w:rPr>
                      <w:rFonts w:ascii="Cambria Math" w:hAnsi="Cambria Math"/>
                    </w:rPr>
                  </m:ctrlPr>
                </m:sSubPr>
                <m:e>
                  <m:r>
                    <w:rPr>
                      <w:rFonts w:ascii="Cambria Math" w:hAnsi="Cambria Math"/>
                    </w:rPr>
                    <m:t>Q</m:t>
                  </m:r>
                </m:e>
                <m:sub>
                  <m:r>
                    <w:rPr>
                      <w:rFonts w:ascii="Cambria Math" w:hAnsi="Cambria Math"/>
                    </w:rPr>
                    <m:t>a</m:t>
                  </m:r>
                </m:sub>
              </m:sSub>
            </m:oMath>
            <w:r>
              <w:rPr>
                <w:sz w:val="19"/>
              </w:rPr>
              <w:t> .</w:t>
            </w:r>
            <w:r>
              <w:rPr>
                <w:b/>
                <w:bCs/>
                <w:sz w:val="19"/>
              </w:rPr>
              <w:t>Unidade:</w:t>
            </w:r>
            <w:r>
              <w:rPr>
                <w:sz w:val="19"/>
              </w:rPr>
              <w:t> Metro cúbico por segundo (m³/s).</w:t>
            </w:r>
          </w:p>
        </w:tc>
      </w:tr>
      <w:tr w:rsidR="00F37F50" w14:paraId="0DAD9D96" w14:textId="77777777" w:rsidTr="00E47BA6">
        <w:trPr>
          <w:cantSplit/>
          <w:jc w:val="center"/>
        </w:trPr>
        <w:tc>
          <w:tcPr>
            <w:tcW w:w="1701" w:type="dxa"/>
            <w:vAlign w:val="center"/>
          </w:tcPr>
          <w:p w14:paraId="26893C7F" w14:textId="77777777" w:rsidR="00F37F50" w:rsidRDefault="00F37F50" w:rsidP="00E47BA6">
            <w:pPr>
              <w:pStyle w:val="Compact"/>
              <w:spacing w:before="40" w:after="40"/>
            </w:pPr>
            <m:oMathPara>
              <m:oMath>
                <m:sSub>
                  <m:sSubPr>
                    <m:ctrlPr>
                      <w:rPr>
                        <w:rFonts w:ascii="Cambria Math" w:hAnsi="Cambria Math"/>
                      </w:rPr>
                    </m:ctrlPr>
                  </m:sSubPr>
                  <m:e>
                    <m:r>
                      <w:rPr>
                        <w:rFonts w:ascii="Cambria Math" w:hAnsi="Cambria Math"/>
                      </w:rPr>
                      <m:t>H</m:t>
                    </m:r>
                  </m:e>
                  <m:sub>
                    <m:r>
                      <w:rPr>
                        <w:rFonts w:ascii="Cambria Math" w:hAnsi="Cambria Math"/>
                      </w:rPr>
                      <m:t>r</m:t>
                    </m:r>
                  </m:sub>
                </m:sSub>
              </m:oMath>
            </m:oMathPara>
          </w:p>
        </w:tc>
        <w:tc>
          <w:tcPr>
            <w:tcW w:w="2268" w:type="dxa"/>
            <w:vAlign w:val="center"/>
          </w:tcPr>
          <w:p w14:paraId="79E28D87" w14:textId="77777777" w:rsidR="00F37F50" w:rsidRDefault="00F37F50" w:rsidP="00E47BA6">
            <w:pPr>
              <w:pStyle w:val="Compact"/>
              <w:spacing w:before="40" w:after="40"/>
            </w:pPr>
            <w:r>
              <w:rPr>
                <w:sz w:val="19"/>
              </w:rPr>
              <w:t>Altura de Recalque</w:t>
            </w:r>
          </w:p>
        </w:tc>
        <w:tc>
          <w:tcPr>
            <w:tcW w:w="5102" w:type="dxa"/>
            <w:vAlign w:val="center"/>
          </w:tcPr>
          <w:p w14:paraId="035C797F" w14:textId="0BE2F6DF" w:rsidR="00F37F50" w:rsidRDefault="00F37F50" w:rsidP="00E47BA6">
            <w:pPr>
              <w:pStyle w:val="Compact"/>
              <w:spacing w:before="40" w:after="40"/>
            </w:pPr>
            <w:r>
              <w:rPr>
                <w:sz w:val="19"/>
              </w:rPr>
              <w:t xml:space="preserve">Diferença vertical entre o eixo do carneiro hidráulico e o nível da água no reservatório de destino. Representa a altura vencida pela </w:t>
            </w:r>
            <w:r w:rsidR="005E62A9">
              <w:rPr>
                <w:sz w:val="19"/>
              </w:rPr>
              <w:t>bomba.</w:t>
            </w:r>
            <w:r w:rsidR="005E62A9">
              <w:rPr>
                <w:b/>
                <w:bCs/>
                <w:sz w:val="19"/>
              </w:rPr>
              <w:t xml:space="preserve"> Unidade</w:t>
            </w:r>
            <w:r>
              <w:rPr>
                <w:b/>
                <w:bCs/>
                <w:sz w:val="19"/>
              </w:rPr>
              <w:t>:</w:t>
            </w:r>
            <w:r>
              <w:rPr>
                <w:sz w:val="19"/>
              </w:rPr>
              <w:t> Metro (m).</w:t>
            </w:r>
          </w:p>
        </w:tc>
      </w:tr>
    </w:tbl>
    <w:p w14:paraId="5883298E" w14:textId="0B579E87" w:rsidR="00F37F50" w:rsidRDefault="00F37F50" w:rsidP="00F37F50">
      <w:pPr>
        <w:pStyle w:val="Ttulo3"/>
        <w:spacing w:before="240" w:after="100"/>
      </w:pPr>
      <w:r>
        <w:t xml:space="preserve">Observações </w:t>
      </w:r>
      <w:r w:rsidR="00EE3FEB">
        <w:t>t</w:t>
      </w:r>
      <w:r>
        <w:t xml:space="preserve">écnicas </w:t>
      </w:r>
      <w:r w:rsidR="00EE3FEB">
        <w:t>c</w:t>
      </w:r>
      <w:r>
        <w:t>omplementares:</w:t>
      </w:r>
    </w:p>
    <w:p w14:paraId="3ADE10EA" w14:textId="77777777" w:rsidR="00F37F50" w:rsidRDefault="00F37F50" w:rsidP="00F37F50">
      <w:pPr>
        <w:pStyle w:val="Compact"/>
        <w:numPr>
          <w:ilvl w:val="0"/>
          <w:numId w:val="12"/>
        </w:numPr>
      </w:pPr>
      <w:r>
        <w:rPr>
          <w:b/>
          <w:bCs/>
        </w:rPr>
        <w:t>Relação de Eficiência ( </w:t>
      </w:r>
      <w:r>
        <w:rPr>
          <w:rStyle w:val="VerbatimChar"/>
          <w:b/>
          <w:bCs/>
        </w:rPr>
        <w:t>η</w:t>
      </w:r>
      <w:r>
        <w:rPr>
          <w:b/>
          <w:bCs/>
        </w:rPr>
        <w:t> ):</w:t>
      </w:r>
      <w:r>
        <w:t> A eficiência do sistema é dada por </w:t>
      </w:r>
      <m:oMath>
        <m:r>
          <w:rPr>
            <w:rFonts w:ascii="Cambria Math" w:hAnsi="Cambria Math"/>
          </w:rPr>
          <m:t>η</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u</m:t>
                </m:r>
              </m:sub>
            </m:sSub>
          </m:num>
          <m:den>
            <m:sSub>
              <m:sSubPr>
                <m:ctrlPr>
                  <w:rPr>
                    <w:rFonts w:ascii="Cambria Math" w:hAnsi="Cambria Math"/>
                  </w:rPr>
                </m:ctrlPr>
              </m:sSubPr>
              <m:e>
                <m:r>
                  <w:rPr>
                    <w:rFonts w:ascii="Cambria Math" w:hAnsi="Cambria Math"/>
                  </w:rPr>
                  <m:t>P</m:t>
                </m:r>
              </m:e>
              <m:sub>
                <m:r>
                  <w:rPr>
                    <w:rFonts w:ascii="Cambria Math" w:hAnsi="Cambria Math"/>
                  </w:rPr>
                  <m:t>d</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r</m:t>
                </m:r>
              </m:sub>
            </m:sSub>
            <m:sSub>
              <m:sSubPr>
                <m:ctrlPr>
                  <w:rPr>
                    <w:rFonts w:ascii="Cambria Math" w:hAnsi="Cambria Math"/>
                  </w:rPr>
                </m:ctrlPr>
              </m:sSubPr>
              <m:e>
                <m:r>
                  <w:rPr>
                    <w:rFonts w:ascii="Cambria Math" w:hAnsi="Cambria Math"/>
                  </w:rPr>
                  <m:t>H</m:t>
                </m:r>
              </m:e>
              <m:sub>
                <m:r>
                  <w:rPr>
                    <w:rFonts w:ascii="Cambria Math" w:hAnsi="Cambria Math"/>
                  </w:rPr>
                  <m:t>r</m:t>
                </m:r>
              </m:sub>
            </m:sSub>
          </m:num>
          <m:den>
            <m:sSub>
              <m:sSubPr>
                <m:ctrlPr>
                  <w:rPr>
                    <w:rFonts w:ascii="Cambria Math" w:hAnsi="Cambria Math"/>
                  </w:rPr>
                </m:ctrlPr>
              </m:sSubPr>
              <m:e>
                <m:r>
                  <w:rPr>
                    <w:rFonts w:ascii="Cambria Math" w:hAnsi="Cambria Math"/>
                  </w:rPr>
                  <m:t>Q</m:t>
                </m:r>
              </m:e>
              <m:sub>
                <m:r>
                  <w:rPr>
                    <w:rFonts w:ascii="Cambria Math" w:hAnsi="Cambria Math"/>
                  </w:rPr>
                  <m:t>a</m:t>
                </m:r>
              </m:sub>
            </m:sSub>
            <m:sSub>
              <m:sSubPr>
                <m:ctrlPr>
                  <w:rPr>
                    <w:rFonts w:ascii="Cambria Math" w:hAnsi="Cambria Math"/>
                  </w:rPr>
                </m:ctrlPr>
              </m:sSubPr>
              <m:e>
                <m:r>
                  <w:rPr>
                    <w:rFonts w:ascii="Cambria Math" w:hAnsi="Cambria Math"/>
                  </w:rPr>
                  <m:t>H</m:t>
                </m:r>
              </m:e>
              <m:sub>
                <m:r>
                  <w:rPr>
                    <w:rFonts w:ascii="Cambria Math" w:hAnsi="Cambria Math"/>
                  </w:rPr>
                  <m:t>q</m:t>
                </m:r>
              </m:sub>
            </m:sSub>
          </m:den>
        </m:f>
      </m:oMath>
      <w:r>
        <w:t> . Valores típicos variam entre 0,40 e 0,70 (40% a 70%).</w:t>
      </w:r>
    </w:p>
    <w:p w14:paraId="743BC329" w14:textId="77777777" w:rsidR="00F37F50" w:rsidRDefault="00F37F50" w:rsidP="00F37F50">
      <w:pPr>
        <w:pStyle w:val="Compact"/>
        <w:numPr>
          <w:ilvl w:val="0"/>
          <w:numId w:val="12"/>
        </w:numPr>
      </w:pPr>
      <w:r>
        <w:rPr>
          <w:b/>
          <w:bCs/>
        </w:rPr>
        <w:t>Consistência Dimensional:</w:t>
      </w:r>
      <w:r>
        <w:t> O produto </w:t>
      </w:r>
      <m:oMath>
        <m:r>
          <w:rPr>
            <w:rFonts w:ascii="Cambria Math" w:hAnsi="Cambria Math"/>
          </w:rPr>
          <m:t>ρ</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H</m:t>
        </m:r>
      </m:oMath>
      <w:r>
        <w:t> resulta em </w:t>
      </w:r>
      <m:oMath>
        <m:d>
          <m:dPr>
            <m:ctrlPr>
              <w:rPr>
                <w:rFonts w:ascii="Cambria Math" w:hAnsi="Cambria Math"/>
              </w:rPr>
            </m:ctrlPr>
          </m:dPr>
          <m:e>
            <m:r>
              <w:rPr>
                <w:rFonts w:ascii="Cambria Math" w:hAnsi="Cambria Math"/>
              </w:rPr>
              <m:t>kg</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3</m:t>
                </m:r>
              </m:sup>
            </m:sSup>
          </m:e>
        </m:d>
        <m:d>
          <m:dPr>
            <m:ctrlPr>
              <w:rPr>
                <w:rFonts w:ascii="Cambria Math" w:hAnsi="Cambria Math"/>
              </w:rPr>
            </m:ctrlPr>
          </m:dPr>
          <m:e>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e>
        </m:d>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3</m:t>
                </m:r>
              </m:sup>
            </m:sSup>
            <m:r>
              <m:rPr>
                <m:sty m:val="p"/>
              </m:rPr>
              <w:rPr>
                <w:rFonts w:ascii="Cambria Math" w:hAnsi="Cambria Math"/>
              </w:rPr>
              <m:t>/</m:t>
            </m:r>
            <m:r>
              <w:rPr>
                <w:rFonts w:ascii="Cambria Math" w:hAnsi="Cambria Math"/>
              </w:rPr>
              <m:t>s</m:t>
            </m:r>
          </m:e>
        </m:d>
        <m:d>
          <m:dPr>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kg</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r>
          <w:rPr>
            <w:rFonts w:ascii="Cambria Math" w:hAnsi="Cambria Math"/>
          </w:rPr>
          <m:t>W</m:t>
        </m:r>
      </m:oMath>
      <w:r>
        <w:t> , confirmando a validade dimensional das fórmulas apresentadas.</w:t>
      </w:r>
    </w:p>
    <w:p w14:paraId="4642D600" w14:textId="3AF1581A" w:rsidR="00F37F50" w:rsidRDefault="00F37F50" w:rsidP="006274F9">
      <w:pPr>
        <w:pStyle w:val="Compact"/>
        <w:numPr>
          <w:ilvl w:val="0"/>
          <w:numId w:val="12"/>
        </w:numPr>
      </w:pPr>
      <w:r>
        <w:rPr>
          <w:b/>
          <w:bCs/>
        </w:rPr>
        <w:t>Perdas Reais:</w:t>
      </w:r>
      <w:r>
        <w:t> A diferença entre </w:t>
      </w:r>
      <m:oMath>
        <m:sSub>
          <m:sSubPr>
            <m:ctrlPr>
              <w:rPr>
                <w:rFonts w:ascii="Cambria Math" w:hAnsi="Cambria Math"/>
              </w:rPr>
            </m:ctrlPr>
          </m:sSubPr>
          <m:e>
            <m:r>
              <w:rPr>
                <w:rFonts w:ascii="Cambria Math" w:hAnsi="Cambria Math"/>
              </w:rPr>
              <m:t>P</m:t>
            </m:r>
          </m:e>
          <m:sub>
            <m:r>
              <w:rPr>
                <w:rFonts w:ascii="Cambria Math" w:hAnsi="Cambria Math"/>
              </w:rPr>
              <m:t>d</m:t>
            </m:r>
          </m:sub>
        </m:sSub>
      </m:oMath>
      <w:r>
        <w:t> e </w:t>
      </w:r>
      <m:oMath>
        <m:sSub>
          <m:sSubPr>
            <m:ctrlPr>
              <w:rPr>
                <w:rFonts w:ascii="Cambria Math" w:hAnsi="Cambria Math"/>
              </w:rPr>
            </m:ctrlPr>
          </m:sSubPr>
          <m:e>
            <m:r>
              <w:rPr>
                <w:rFonts w:ascii="Cambria Math" w:hAnsi="Cambria Math"/>
              </w:rPr>
              <m:t>P</m:t>
            </m:r>
          </m:e>
          <m:sub>
            <m:r>
              <w:rPr>
                <w:rFonts w:ascii="Cambria Math" w:hAnsi="Cambria Math"/>
              </w:rPr>
              <m:t>u</m:t>
            </m:r>
          </m:sub>
        </m:sSub>
      </m:oMath>
      <w:r>
        <w:t> corresponde às perdas por atrito nas tubulações, turbulência nas válvulas, compressão não ideal do ar na câmara e dissipação térmica/acústica durante o golpe de aríete.</w:t>
      </w:r>
    </w:p>
    <w:p w14:paraId="7BD29E3F" w14:textId="6B53A498" w:rsidR="002D33DA" w:rsidRDefault="00000000">
      <w:pPr>
        <w:pStyle w:val="Ttulo3"/>
        <w:spacing w:before="240" w:after="100"/>
      </w:pPr>
      <w:bookmarkStart w:id="4" w:name="variáveis-críticas-queda-vazão-e-altura"/>
      <w:bookmarkEnd w:id="3"/>
      <w:r>
        <w:t xml:space="preserve">Variáveis </w:t>
      </w:r>
      <w:r w:rsidR="00EE3FEB">
        <w:t>c</w:t>
      </w:r>
      <w:r>
        <w:t xml:space="preserve">ríticas: </w:t>
      </w:r>
      <w:r w:rsidR="00EE3FEB">
        <w:t>q</w:t>
      </w:r>
      <w:r>
        <w:t xml:space="preserve">ueda, </w:t>
      </w:r>
      <w:r w:rsidR="00EE3FEB">
        <w:t>v</w:t>
      </w:r>
      <w:r>
        <w:t xml:space="preserve">azão e </w:t>
      </w:r>
      <w:r w:rsidR="00EE3FEB">
        <w:t>a</w:t>
      </w:r>
      <w:r>
        <w:t>ltura</w:t>
      </w:r>
    </w:p>
    <w:p w14:paraId="5A0DE3FA" w14:textId="77777777" w:rsidR="002D33DA" w:rsidRDefault="00000000">
      <w:pPr>
        <w:pStyle w:val="FirstParagraph"/>
      </w:pPr>
      <w:r>
        <w:t>O desempenho de um carneiro hidráulico é governado por quatro variáveis interconectadas. Não existem números mágicos universais, mas as relações qualitativas são bem estabelecidas pela literatura técnica:</w:t>
      </w:r>
    </w:p>
    <w:p w14:paraId="61EFC8DB" w14:textId="77777777" w:rsidR="002D33DA" w:rsidRDefault="00000000">
      <w:pPr>
        <w:pStyle w:val="Compact"/>
        <w:numPr>
          <w:ilvl w:val="0"/>
          <w:numId w:val="2"/>
        </w:numPr>
      </w:pPr>
      <w:r>
        <w:rPr>
          <w:b/>
          <w:bCs/>
        </w:rPr>
        <w:t>Queda Disponível:</w:t>
      </w:r>
      <w:r>
        <w:t> Diferença vertical entre a fonte e o carneiro. Maior queda gera maior velocidade e golpes mais energéticos, permitindo recalques mais altos.</w:t>
      </w:r>
    </w:p>
    <w:p w14:paraId="46F96DFF" w14:textId="77777777" w:rsidR="002D33DA" w:rsidRDefault="00000000">
      <w:pPr>
        <w:pStyle w:val="Compact"/>
        <w:numPr>
          <w:ilvl w:val="0"/>
          <w:numId w:val="2"/>
        </w:numPr>
      </w:pPr>
      <w:r>
        <w:rPr>
          <w:b/>
          <w:bCs/>
        </w:rPr>
        <w:t>Vazão de Alimentação:</w:t>
      </w:r>
      <w:r>
        <w:t> Quantidade de água que chega ao carneiro. Mais massa em movimento significa mais energia cinética disponível para conversão.</w:t>
      </w:r>
    </w:p>
    <w:p w14:paraId="69FDB3D0" w14:textId="77777777" w:rsidR="002D33DA" w:rsidRDefault="00000000">
      <w:pPr>
        <w:pStyle w:val="Compact"/>
        <w:numPr>
          <w:ilvl w:val="0"/>
          <w:numId w:val="2"/>
        </w:numPr>
      </w:pPr>
      <w:r>
        <w:rPr>
          <w:b/>
          <w:bCs/>
        </w:rPr>
        <w:t>Altura de Recalque:</w:t>
      </w:r>
      <w:r>
        <w:t> Altura vertical até o destino. Quanto maior, maior a resistência e menor a vazão entregue para uma mesma entrada.</w:t>
      </w:r>
    </w:p>
    <w:p w14:paraId="44E82D25" w14:textId="77777777" w:rsidR="002D33DA" w:rsidRDefault="00000000">
      <w:pPr>
        <w:pStyle w:val="Compact"/>
        <w:numPr>
          <w:ilvl w:val="0"/>
          <w:numId w:val="2"/>
        </w:numPr>
      </w:pPr>
      <w:r>
        <w:rPr>
          <w:b/>
          <w:bCs/>
        </w:rPr>
        <w:lastRenderedPageBreak/>
        <w:t>Perdas na Tubulação:</w:t>
      </w:r>
      <w:r>
        <w:t> Atrito, curvas e diâmetros inadequados dissipam energia antes e depois do golpe, reduzindo drasticamente a eficiência.</w:t>
      </w:r>
    </w:p>
    <w:p w14:paraId="5237397E" w14:textId="2733C17D" w:rsidR="002D33DA" w:rsidRDefault="00000000">
      <w:pPr>
        <w:pStyle w:val="Ttulo3"/>
        <w:spacing w:before="240" w:after="100"/>
      </w:pPr>
      <w:bookmarkStart w:id="5" w:name="X74f8576cabe9e507dc2fc275c5c2ba300341bf1"/>
      <w:bookmarkEnd w:id="4"/>
      <w:r>
        <w:t xml:space="preserve">Instalação e </w:t>
      </w:r>
      <w:r w:rsidR="00EE3FEB">
        <w:t>m</w:t>
      </w:r>
      <w:r>
        <w:t xml:space="preserve">anutenção: A </w:t>
      </w:r>
      <w:r w:rsidR="00EE3FEB">
        <w:t>s</w:t>
      </w:r>
      <w:r>
        <w:t xml:space="preserve">implicidade como </w:t>
      </w:r>
      <w:r w:rsidR="00EE3FEB">
        <w:t>v</w:t>
      </w:r>
      <w:r>
        <w:t>irtude</w:t>
      </w:r>
    </w:p>
    <w:p w14:paraId="2BA579AE" w14:textId="77777777" w:rsidR="002D33DA" w:rsidRDefault="00000000">
      <w:pPr>
        <w:pStyle w:val="FirstParagraph"/>
      </w:pPr>
      <w:r>
        <w:t>A robustez do carneiro é uma de suas principais vantagens. Sem componentes eletrônicos, ele pode operar em locais remotos. A instalação exige atenção ao dimensionamento do tubo de alimentação, que deve permitir a aceleração da coluna de água e evitar curvas bruscas. O tubo de recalque deve suportar as pressões previstas no projeto.</w:t>
      </w:r>
    </w:p>
    <w:p w14:paraId="0639D910" w14:textId="4BAD8189" w:rsidR="002D33DA" w:rsidRDefault="00000000">
      <w:pPr>
        <w:pStyle w:val="Corpodetexto"/>
      </w:pPr>
      <w:r>
        <w:rPr>
          <w:i/>
          <w:iCs/>
        </w:rPr>
        <w:t xml:space="preserve">A manutenção envolve a verificação periódica da câmara de ar, do desgaste das válvulas e da integridade das tubulações. Em águas com sedimentos, a captação deve contar com proteção adequada e limpeza periódica. A durabilidade e o custo do sistema dependem dos materiais, da qualidade da instalação, das condições da água e da manutenção. Em locais </w:t>
      </w:r>
      <w:r>
        <w:rPr>
          <w:i/>
          <w:iCs/>
        </w:rPr>
        <w:t>fora da rede</w:t>
      </w:r>
      <w:r>
        <w:rPr>
          <w:i/>
          <w:iCs/>
        </w:rPr>
        <w:t>, o carneiro pode ser uma alternativa de baixa complexidade quando existe queda e vazão suficientes.</w:t>
      </w:r>
    </w:p>
    <w:p w14:paraId="7FADE84C" w14:textId="77777777" w:rsidR="00772BFB" w:rsidRDefault="00772BFB">
      <w:pPr>
        <w:pStyle w:val="Corpodetexto"/>
      </w:pPr>
    </w:p>
    <w:p w14:paraId="0CE287D0" w14:textId="385DC69A" w:rsidR="00772BFB" w:rsidRDefault="00772BFB" w:rsidP="00772BFB">
      <w:pPr>
        <w:pStyle w:val="Corpodetexto"/>
        <w:jc w:val="center"/>
        <w:rPr>
          <w:color w:val="FF0000"/>
        </w:rPr>
      </w:pPr>
      <w:r w:rsidRPr="00772BFB">
        <w:rPr>
          <w:color w:val="FF0000"/>
        </w:rPr>
        <w:t>Imagem 2</w:t>
      </w:r>
    </w:p>
    <w:p w14:paraId="35218EE2" w14:textId="77777777" w:rsidR="00772BFB" w:rsidRPr="00772BFB" w:rsidRDefault="00772BFB" w:rsidP="00772BFB">
      <w:pPr>
        <w:pStyle w:val="Corpodetexto"/>
        <w:jc w:val="center"/>
        <w:rPr>
          <w:color w:val="FF0000"/>
        </w:rPr>
      </w:pPr>
    </w:p>
    <w:p w14:paraId="7448EDE9" w14:textId="2C33577F" w:rsidR="002D33DA" w:rsidRDefault="00000000">
      <w:pPr>
        <w:pStyle w:val="Ttulo3"/>
        <w:spacing w:before="240" w:after="100"/>
      </w:pPr>
      <w:bookmarkStart w:id="6" w:name="onde-vale-a-pena-hoje"/>
      <w:bookmarkEnd w:id="5"/>
      <w:r>
        <w:t xml:space="preserve">Onde </w:t>
      </w:r>
      <w:r w:rsidR="00EE3FEB">
        <w:t>v</w:t>
      </w:r>
      <w:r>
        <w:t xml:space="preserve">ale a </w:t>
      </w:r>
      <w:r w:rsidR="00EE3FEB">
        <w:t>p</w:t>
      </w:r>
      <w:r>
        <w:t xml:space="preserve">ena </w:t>
      </w:r>
      <w:r w:rsidR="00EE3FEB">
        <w:t>h</w:t>
      </w:r>
      <w:r>
        <w:t>oje?</w:t>
      </w:r>
    </w:p>
    <w:p w14:paraId="2CDBFF34" w14:textId="77777777" w:rsidR="002D33DA" w:rsidRDefault="00000000">
      <w:pPr>
        <w:pStyle w:val="FirstParagraph"/>
      </w:pPr>
      <w:r>
        <w:t>No século XXI, o carneiro permanece adequado a aplicações específicas: propriedades rurais isoladas, comunidades sem rede elétrica, agricultura familiar e projetos descentralizados de abastecimento. Onde há uma fonte contínua com desnível natural, ele pode operar continuamente sem depender da rede elétrica. Não é uma solução universal: exige queda e vazão compatíveis com o equipamento, dimensionamento correto e destinação adequada para a água descartada pela válvula de impulso. Onde essas condições existem, pode oferecer autonomia e confiabilidade.</w:t>
      </w:r>
    </w:p>
    <w:p w14:paraId="424B3B77" w14:textId="4E8F047E" w:rsidR="005E62A9" w:rsidRDefault="005E62A9" w:rsidP="005E62A9">
      <w:pPr>
        <w:pStyle w:val="Ttulo3"/>
        <w:spacing w:before="240" w:after="100"/>
      </w:pPr>
      <w:r>
        <w:t>Como fazer uma bomba d’água?</w:t>
      </w:r>
    </w:p>
    <w:p w14:paraId="5B351514" w14:textId="6FAC736F" w:rsidR="005E62A9" w:rsidRDefault="005E62A9" w:rsidP="005E62A9">
      <w:pPr>
        <w:pStyle w:val="FirstParagraph"/>
      </w:pPr>
      <w:r>
        <w:t>No vídeo, a Epagri (Empresa de Pesquisa Agropecuária e Extensão Rural de Santa Catarina) mostra como montar e instalar um carneiro hidráulico.</w:t>
      </w:r>
    </w:p>
    <w:p w14:paraId="073B8DB0" w14:textId="77777777" w:rsidR="00772BFB" w:rsidRPr="00772BFB" w:rsidRDefault="00772BFB" w:rsidP="00772BFB">
      <w:pPr>
        <w:pStyle w:val="Corpodetexto"/>
      </w:pPr>
    </w:p>
    <w:p w14:paraId="3B40A34E" w14:textId="12B74719" w:rsidR="00EE3FEB" w:rsidRPr="00EE3FEB" w:rsidRDefault="00772BFB" w:rsidP="00EE3FEB">
      <w:pPr>
        <w:pStyle w:val="Corpodetexto"/>
      </w:pPr>
      <w:r w:rsidRPr="00772BFB">
        <w:t>https://www.youtube.com/watch?v=6sqSbXuB6Nk</w:t>
      </w:r>
    </w:p>
    <w:p w14:paraId="2EA5C6E3" w14:textId="77777777" w:rsidR="00EE3FEB" w:rsidRPr="00EE3FEB" w:rsidRDefault="00EE3FEB" w:rsidP="00EE3FEB">
      <w:pPr>
        <w:pStyle w:val="Corpodetexto"/>
      </w:pPr>
    </w:p>
    <w:p w14:paraId="0EDA359A" w14:textId="77777777" w:rsidR="002D33DA" w:rsidRDefault="00000000">
      <w:pPr>
        <w:pStyle w:val="Ttulo3"/>
        <w:spacing w:before="240" w:after="100"/>
      </w:pPr>
      <w:bookmarkStart w:id="7" w:name="conclusão"/>
      <w:bookmarkEnd w:id="6"/>
      <w:r>
        <w:t>Conclusão</w:t>
      </w:r>
    </w:p>
    <w:p w14:paraId="644701E7" w14:textId="40C6E8DC" w:rsidR="002D33DA" w:rsidRDefault="00000000">
      <w:pPr>
        <w:pStyle w:val="FirstParagraph"/>
      </w:pPr>
      <w:r>
        <w:t>O carneiro hidráulico ensina que inovação sustentável muitas vezes significa aproveitar forças naturais de maneira adequada. Ao converter parte da energia gravitacional da água em pressão útil, ele demonstra como uma solução consolidada pode contribuir para a resiliência hídrica contemporânea. Para o planejador, a pergunta não é apenas “isso funciona?”, mas “as condições locais de queda, vazão e instalação permitem que funcione?”. Quando essas condições são atendidas, o carneiro pode prestar serviço contínuo com baixa dependência de infraestrutura energética externa.</w:t>
      </w:r>
    </w:p>
    <w:p w14:paraId="1320D429" w14:textId="77777777" w:rsidR="002D33DA" w:rsidRDefault="00000000">
      <w:pPr>
        <w:jc w:val="both"/>
      </w:pPr>
      <w:r>
        <w:pict w14:anchorId="5E9462C2">
          <v:rect id="_x0000_i1025" style="width:0;height:1.5pt" o:hralign="center" o:hrstd="t" o:hr="t"/>
        </w:pict>
      </w:r>
    </w:p>
    <w:p w14:paraId="6D77E92E" w14:textId="77777777" w:rsidR="002D33DA" w:rsidRDefault="00000000">
      <w:pPr>
        <w:pStyle w:val="Ttulo3"/>
        <w:spacing w:before="240" w:after="100"/>
      </w:pPr>
      <w:bookmarkStart w:id="8" w:name="X28dd429e8f1ad8f1858059349896fc72ce64fe3"/>
      <w:bookmarkEnd w:id="7"/>
      <w:r>
        <w:t>Referências Bibliográficas e Fontes Consultadas</w:t>
      </w:r>
    </w:p>
    <w:p w14:paraId="2C398412" w14:textId="77777777" w:rsidR="002D33DA" w:rsidRDefault="00000000">
      <w:pPr>
        <w:pStyle w:val="FirstParagraph"/>
      </w:pPr>
      <w:r>
        <w:t>As informações técnicas, os princípios físicos e os dados de aplicação prática apresentados neste texto foram conferidos nas fontes a seguir:</w:t>
      </w:r>
    </w:p>
    <w:p w14:paraId="358C71D8" w14:textId="77777777" w:rsidR="002D33DA" w:rsidRDefault="00000000">
      <w:pPr>
        <w:pStyle w:val="Compact"/>
        <w:numPr>
          <w:ilvl w:val="0"/>
          <w:numId w:val="3"/>
        </w:numPr>
      </w:pPr>
      <w:r>
        <w:rPr>
          <w:b/>
          <w:bCs/>
        </w:rPr>
        <w:t>FAO (Food and Agriculture Organization of the United Nations). Water Lifting Devices. Rome: FAO, 1986. Seção 4.9.3 — Hydraulic ram pumps. Disponível em: https://www.fao.org/4/ah810e/ah810e00.htm</w:t>
      </w:r>
    </w:p>
    <w:p w14:paraId="67F833FF" w14:textId="77777777" w:rsidR="002D33DA" w:rsidRDefault="00000000">
      <w:pPr>
        <w:pStyle w:val="Compact"/>
        <w:numPr>
          <w:ilvl w:val="1"/>
          <w:numId w:val="4"/>
        </w:numPr>
      </w:pPr>
      <w:r>
        <w:rPr>
          <w:i/>
          <w:iCs/>
        </w:rPr>
        <w:t>Uso: princípios de operação, configuração do sistema e relações de desempenho.</w:t>
      </w:r>
    </w:p>
    <w:p w14:paraId="37EFB73F" w14:textId="77777777" w:rsidR="002D33DA" w:rsidRDefault="00000000">
      <w:pPr>
        <w:pStyle w:val="Compact"/>
        <w:numPr>
          <w:ilvl w:val="0"/>
          <w:numId w:val="3"/>
        </w:numPr>
      </w:pPr>
      <w:r>
        <w:rPr>
          <w:b/>
          <w:bCs/>
        </w:rPr>
        <w:t>EMBRAPA. Adubação e bombeamento de água para fins de irrigação. Seção 2.2.3 — Aríete hidráulico. Disponível em: https://www.infoteca.cnptia.embrapa.br/infoteca/bitstream/doc/132501/1/Adubacaoebombeamentodeaguaparafinsdeirrigacao.pdf</w:t>
      </w:r>
    </w:p>
    <w:p w14:paraId="0255BE29" w14:textId="77777777" w:rsidR="002D33DA" w:rsidRDefault="00000000">
      <w:pPr>
        <w:pStyle w:val="Compact"/>
        <w:numPr>
          <w:ilvl w:val="1"/>
          <w:numId w:val="5"/>
        </w:numPr>
      </w:pPr>
      <w:r>
        <w:rPr>
          <w:i/>
          <w:iCs/>
        </w:rPr>
        <w:t>Uso: componentes, golpe de aríete, ciclo das válvulas e câmara de ar.</w:t>
      </w:r>
    </w:p>
    <w:p w14:paraId="2E6CEF4E" w14:textId="77777777" w:rsidR="002D33DA" w:rsidRDefault="00000000">
      <w:pPr>
        <w:pStyle w:val="Compact"/>
        <w:numPr>
          <w:ilvl w:val="0"/>
          <w:numId w:val="3"/>
        </w:numPr>
      </w:pPr>
      <w:r>
        <w:rPr>
          <w:b/>
          <w:bCs/>
        </w:rPr>
        <w:t>Fox, R. W.; McDonald, A. T.; Pritchard, P. J.</w:t>
      </w:r>
      <w:r>
        <w:t> </w:t>
      </w:r>
      <w:r>
        <w:rPr>
          <w:i/>
          <w:iCs/>
        </w:rPr>
        <w:t>Introdução à Mecânica dos Fluidos</w:t>
      </w:r>
      <w:r>
        <w:t>. 8. ed. Rio de Janeiro: LTC, 2014.</w:t>
      </w:r>
    </w:p>
    <w:p w14:paraId="242556F6" w14:textId="77777777" w:rsidR="002D33DA" w:rsidRDefault="00000000">
      <w:pPr>
        <w:pStyle w:val="Compact"/>
        <w:numPr>
          <w:ilvl w:val="1"/>
          <w:numId w:val="6"/>
        </w:numPr>
      </w:pPr>
      <w:r>
        <w:rPr>
          <w:i/>
          <w:iCs/>
        </w:rPr>
        <w:t>Uso:</w:t>
      </w:r>
      <w:r>
        <w:t> Fundamentação teórica do golpe de aríete, equações de conservação de momento e energia em fluidos incompressíveis, e análise de transientes hidráulicos.</w:t>
      </w:r>
    </w:p>
    <w:p w14:paraId="4785DAC2" w14:textId="77777777" w:rsidR="002D33DA" w:rsidRDefault="00000000">
      <w:pPr>
        <w:pStyle w:val="Compact"/>
        <w:numPr>
          <w:ilvl w:val="0"/>
          <w:numId w:val="3"/>
        </w:numPr>
      </w:pPr>
      <w:r>
        <w:rPr>
          <w:b/>
          <w:bCs/>
        </w:rPr>
        <w:t>Streeter, V. L.; Wylie, E. B.; Bedford, K. W.</w:t>
      </w:r>
      <w:r>
        <w:t> </w:t>
      </w:r>
      <w:r>
        <w:rPr>
          <w:i/>
          <w:iCs/>
        </w:rPr>
        <w:t>Fluid Mechanics</w:t>
      </w:r>
      <w:r>
        <w:t>. 9. ed. New York: McGraw-Hill, 1998.</w:t>
      </w:r>
    </w:p>
    <w:p w14:paraId="75261193" w14:textId="77777777" w:rsidR="002D33DA" w:rsidRDefault="00000000">
      <w:pPr>
        <w:pStyle w:val="Compact"/>
        <w:numPr>
          <w:ilvl w:val="1"/>
          <w:numId w:val="7"/>
        </w:numPr>
      </w:pPr>
      <w:r>
        <w:rPr>
          <w:i/>
          <w:iCs/>
        </w:rPr>
        <w:t>Uso:</w:t>
      </w:r>
      <w:r>
        <w:t> Explicação detalhada da física do golpe de aríete, ondas de pressão em tubulações e fatores de amortecimento em câmaras de ar.</w:t>
      </w:r>
    </w:p>
    <w:p w14:paraId="507D3115" w14:textId="77777777" w:rsidR="002D33DA" w:rsidRDefault="00000000">
      <w:pPr>
        <w:pStyle w:val="Compact"/>
        <w:numPr>
          <w:ilvl w:val="0"/>
          <w:numId w:val="3"/>
        </w:numPr>
      </w:pPr>
      <w:r>
        <w:rPr>
          <w:b/>
          <w:bCs/>
        </w:rPr>
        <w:t>Munson, B. R.; Young, D. F.; Okiishi, T. H.</w:t>
      </w:r>
      <w:r>
        <w:t> </w:t>
      </w:r>
      <w:r>
        <w:rPr>
          <w:i/>
          <w:iCs/>
        </w:rPr>
        <w:t>Fundamentals of Fluid Mechanics</w:t>
      </w:r>
      <w:r>
        <w:t>. 7. ed. Hoboken: Wiley, 2013.</w:t>
      </w:r>
    </w:p>
    <w:p w14:paraId="6DD0D60E" w14:textId="77777777" w:rsidR="002D33DA" w:rsidRDefault="00000000">
      <w:pPr>
        <w:pStyle w:val="Compact"/>
        <w:numPr>
          <w:ilvl w:val="1"/>
          <w:numId w:val="8"/>
        </w:numPr>
      </w:pPr>
      <w:r>
        <w:rPr>
          <w:i/>
          <w:iCs/>
        </w:rPr>
        <w:t>Uso:</w:t>
      </w:r>
      <w:r>
        <w:t> Análise de perdas por atrito em tubulações de alimentação e recalque, e correlações entre número de Reynolds e eficiência de válvulas automáticas.</w:t>
      </w:r>
    </w:p>
    <w:p w14:paraId="7FB0D8B5" w14:textId="77777777" w:rsidR="002D33DA" w:rsidRDefault="00000000">
      <w:pPr>
        <w:pStyle w:val="Compact"/>
        <w:numPr>
          <w:ilvl w:val="0"/>
          <w:numId w:val="3"/>
        </w:numPr>
      </w:pPr>
      <w:r>
        <w:rPr>
          <w:b/>
          <w:bCs/>
        </w:rPr>
        <w:t>PRACTICAL ACTION. Hydraulic Ram Pumps. Rugby: Practical Action Publishing.</w:t>
      </w:r>
    </w:p>
    <w:p w14:paraId="3E76A13F" w14:textId="77777777" w:rsidR="002D33DA" w:rsidRDefault="00000000">
      <w:pPr>
        <w:pStyle w:val="Compact"/>
        <w:numPr>
          <w:ilvl w:val="1"/>
          <w:numId w:val="9"/>
        </w:numPr>
      </w:pPr>
      <w:r>
        <w:rPr>
          <w:i/>
          <w:iCs/>
        </w:rPr>
        <w:t>Uso: instalação, operação, manutenção e aplicações rurais.</w:t>
      </w:r>
    </w:p>
    <w:p w14:paraId="6814D3B6" w14:textId="77777777" w:rsidR="002D33DA" w:rsidRDefault="00000000">
      <w:pPr>
        <w:pStyle w:val="Compact"/>
        <w:numPr>
          <w:ilvl w:val="0"/>
          <w:numId w:val="3"/>
        </w:numPr>
      </w:pPr>
      <w:r>
        <w:rPr>
          <w:b/>
          <w:bCs/>
        </w:rPr>
        <w:t>NC STATE EXTENSION. Hydraulic Ram Pumps. North Carolina State University. Disponível em: https://content.ces.ncsu.edu/hydraulic-ram-pumps</w:t>
      </w:r>
    </w:p>
    <w:p w14:paraId="020AE78E" w14:textId="77777777" w:rsidR="002D33DA" w:rsidRDefault="00000000">
      <w:pPr>
        <w:pStyle w:val="Compact"/>
        <w:numPr>
          <w:ilvl w:val="1"/>
          <w:numId w:val="10"/>
        </w:numPr>
      </w:pPr>
      <w:r>
        <w:rPr>
          <w:i/>
          <w:iCs/>
        </w:rPr>
        <w:t>Uso: requisitos de instalação, ciclo de funcionamento, dimensionamento e desempenho indicativo.</w:t>
      </w:r>
    </w:p>
    <w:p w14:paraId="7761DE6A" w14:textId="77777777" w:rsidR="002D33DA" w:rsidRDefault="00000000">
      <w:pPr>
        <w:pStyle w:val="Compact"/>
        <w:numPr>
          <w:ilvl w:val="0"/>
          <w:numId w:val="3"/>
        </w:numPr>
      </w:pPr>
      <w:r>
        <w:rPr>
          <w:b/>
          <w:bCs/>
        </w:rPr>
        <w:t>EPAGRI. Carneiro hidráulico de PVC. Tecnologia social certificada pela Fundação Banco do Brasil. Disponível em: https://transforma.fbb.org.br/tecnologia-social/carneiro-hidraulico-de-pvc</w:t>
      </w:r>
    </w:p>
    <w:p w14:paraId="009E92AF" w14:textId="77777777" w:rsidR="002D33DA" w:rsidRDefault="00000000">
      <w:pPr>
        <w:pStyle w:val="Compact"/>
        <w:numPr>
          <w:ilvl w:val="1"/>
          <w:numId w:val="11"/>
        </w:numPr>
      </w:pPr>
      <w:r>
        <w:rPr>
          <w:i/>
          <w:iCs/>
        </w:rPr>
        <w:t>Uso: aplicação rural, montagem, operação sem motor elétrico e experiência de campo.</w:t>
      </w:r>
    </w:p>
    <w:p w14:paraId="5E6DE5AA" w14:textId="77777777" w:rsidR="002D33DA" w:rsidRDefault="00000000">
      <w:pPr>
        <w:jc w:val="both"/>
      </w:pPr>
      <w:r>
        <w:pict w14:anchorId="7D9D9273">
          <v:rect id="_x0000_i1026" style="width:0;height:1.5pt" o:hralign="center" o:hrstd="t" o:hr="t"/>
        </w:pict>
      </w:r>
      <w:bookmarkEnd w:id="0"/>
      <w:bookmarkEnd w:id="1"/>
      <w:bookmarkEnd w:id="8"/>
    </w:p>
    <w:sectPr w:rsidR="002D33DA">
      <w:footerReference w:type="default" r:id="rId11"/>
      <w:pgSz w:w="12240" w:h="15840"/>
      <w:pgMar w:top="1304" w:right="1417" w:bottom="124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CF65D" w14:textId="77777777" w:rsidR="00AC5163" w:rsidRDefault="00AC5163">
      <w:pPr>
        <w:spacing w:after="0" w:line="240" w:lineRule="auto"/>
      </w:pPr>
      <w:r>
        <w:separator/>
      </w:r>
    </w:p>
  </w:endnote>
  <w:endnote w:type="continuationSeparator" w:id="0">
    <w:p w14:paraId="22564AB7" w14:textId="77777777" w:rsidR="00AC5163" w:rsidRDefault="00AC5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ADAF6" w14:textId="77777777" w:rsidR="002D33DA" w:rsidRDefault="00000000">
    <w:pPr>
      <w:jc w:val="center"/>
    </w:pPr>
    <w:r>
      <w:rPr>
        <w:color w:val="646464"/>
        <w:sz w:val="16"/>
      </w:rPr>
      <w:t>Carneiro hidráulico — tecnologia, funcionamento e aplicações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2134B" w14:textId="77777777" w:rsidR="00AC5163" w:rsidRDefault="00AC5163">
      <w:r>
        <w:separator/>
      </w:r>
    </w:p>
  </w:footnote>
  <w:footnote w:type="continuationSeparator" w:id="0">
    <w:p w14:paraId="132B1816" w14:textId="77777777" w:rsidR="00AC5163" w:rsidRDefault="00AC51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3AF8F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D58546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1803C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23881022">
    <w:abstractNumId w:val="0"/>
  </w:num>
  <w:num w:numId="2" w16cid:durableId="597718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26581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4258209">
    <w:abstractNumId w:val="1"/>
  </w:num>
  <w:num w:numId="5" w16cid:durableId="290863979">
    <w:abstractNumId w:val="1"/>
  </w:num>
  <w:num w:numId="6" w16cid:durableId="96219685">
    <w:abstractNumId w:val="1"/>
  </w:num>
  <w:num w:numId="7" w16cid:durableId="345405707">
    <w:abstractNumId w:val="1"/>
  </w:num>
  <w:num w:numId="8" w16cid:durableId="2075348707">
    <w:abstractNumId w:val="1"/>
  </w:num>
  <w:num w:numId="9" w16cid:durableId="1146358866">
    <w:abstractNumId w:val="1"/>
  </w:num>
  <w:num w:numId="10" w16cid:durableId="1886798302">
    <w:abstractNumId w:val="1"/>
  </w:num>
  <w:num w:numId="11" w16cid:durableId="1025323657">
    <w:abstractNumId w:val="1"/>
  </w:num>
  <w:num w:numId="12" w16cid:durableId="1057515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D33DA"/>
    <w:rsid w:val="00056D5B"/>
    <w:rsid w:val="002D33DA"/>
    <w:rsid w:val="005E62A9"/>
    <w:rsid w:val="006274F9"/>
    <w:rsid w:val="00772BFB"/>
    <w:rsid w:val="00AC5163"/>
    <w:rsid w:val="00EB18BA"/>
    <w:rsid w:val="00EE3FEB"/>
    <w:rsid w:val="00F37F5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63B90"/>
  <w15:docId w15:val="{CFF852B4-ABA7-4063-A5C8-5F3414234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Aptos" w:hAnsi="Aptos"/>
      <w:sz w:val="22"/>
      <w:lang w:val="pt-BR"/>
    </w:rPr>
  </w:style>
  <w:style w:type="paragraph" w:styleId="Ttulo1">
    <w:name w:val="heading 1"/>
    <w:basedOn w:val="Normal"/>
    <w:next w:val="Corpodetexto"/>
    <w:uiPriority w:val="9"/>
    <w:qFormat/>
    <w:pPr>
      <w:keepNext/>
      <w:keepLines/>
      <w:spacing w:before="480" w:after="0"/>
      <w:outlineLvl w:val="0"/>
    </w:pPr>
    <w:rPr>
      <w:rFonts w:asciiTheme="majorHAnsi" w:eastAsiaTheme="majorEastAsia" w:hAnsiTheme="majorHAnsi" w:cstheme="majorBidi"/>
      <w:b/>
      <w:bCs/>
      <w:color w:val="17365D"/>
      <w:sz w:val="34"/>
      <w:szCs w:val="32"/>
    </w:rPr>
  </w:style>
  <w:style w:type="paragraph" w:styleId="Ttulo2">
    <w:name w:val="heading 2"/>
    <w:basedOn w:val="Normal"/>
    <w:next w:val="Corpodetexto"/>
    <w:uiPriority w:val="9"/>
    <w:unhideWhenUsed/>
    <w:qFormat/>
    <w:pPr>
      <w:keepNext/>
      <w:keepLines/>
      <w:spacing w:before="200" w:after="0"/>
      <w:outlineLvl w:val="1"/>
    </w:pPr>
    <w:rPr>
      <w:rFonts w:asciiTheme="majorHAnsi" w:eastAsiaTheme="majorEastAsia" w:hAnsiTheme="majorHAnsi" w:cstheme="majorBidi"/>
      <w:b/>
      <w:bCs/>
      <w:color w:val="2F5D75"/>
      <w:sz w:val="28"/>
      <w:szCs w:val="28"/>
    </w:rPr>
  </w:style>
  <w:style w:type="paragraph" w:styleId="Ttulo3">
    <w:name w:val="heading 3"/>
    <w:basedOn w:val="Normal"/>
    <w:next w:val="Corpodetexto"/>
    <w:uiPriority w:val="9"/>
    <w:unhideWhenUsed/>
    <w:qFormat/>
    <w:pPr>
      <w:keepNext/>
      <w:keepLines/>
      <w:spacing w:before="200" w:after="0"/>
      <w:outlineLvl w:val="2"/>
    </w:pPr>
    <w:rPr>
      <w:rFonts w:asciiTheme="majorHAnsi" w:eastAsiaTheme="majorEastAsia" w:hAnsiTheme="majorHAnsi" w:cstheme="majorBidi"/>
      <w:b/>
      <w:bCs/>
      <w:color w:val="2F5D75"/>
      <w:sz w:val="24"/>
    </w:rPr>
  </w:style>
  <w:style w:type="paragraph" w:styleId="Ttulo4">
    <w:name w:val="heading 4"/>
    <w:basedOn w:val="Normal"/>
    <w:next w:val="Corpodetexto"/>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Corpodetexto"/>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Corpodetexto"/>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Corpodetexto"/>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Corpodetexto"/>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Corpodetexto"/>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qFormat/>
    <w:pPr>
      <w:keepNext/>
      <w:keepLines/>
      <w:spacing w:before="480" w:after="240"/>
      <w:jc w:val="center"/>
    </w:pPr>
    <w:rPr>
      <w:rFonts w:asciiTheme="majorHAnsi" w:eastAsiaTheme="majorEastAsia" w:hAnsiTheme="majorHAnsi" w:cstheme="majorBidi"/>
      <w:b/>
      <w:bCs/>
      <w:color w:val="17365D"/>
      <w:sz w:val="48"/>
      <w:szCs w:val="36"/>
    </w:rPr>
  </w:style>
  <w:style w:type="paragraph" w:styleId="Subttulo">
    <w:name w:val="Subtitle"/>
    <w:basedOn w:val="Ttulo"/>
    <w:next w:val="Corpodetexto"/>
    <w:qFormat/>
    <w:pPr>
      <w:spacing w:before="240"/>
    </w:pPr>
    <w:rPr>
      <w:rFonts w:ascii="Aptos Display" w:hAnsi="Aptos Display"/>
      <w:color w:val="49708A"/>
      <w:sz w:val="26"/>
      <w:szCs w:val="30"/>
    </w:r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4F81BD" w:themeColor="accent1"/>
    </w:rPr>
  </w:style>
  <w:style w:type="paragraph" w:styleId="CabealhodoSumrio">
    <w:name w:val="TOC Heading"/>
    <w:basedOn w:val="Ttulo1"/>
    <w:next w:val="Corpodetex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oPendente">
    <w:name w:val="Unresolved Mention"/>
    <w:basedOn w:val="Fontepargpadro"/>
    <w:uiPriority w:val="99"/>
    <w:semiHidden/>
    <w:unhideWhenUsed/>
    <w:rsid w:val="005E62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o.org/3/t0066e/T0066E00.ht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pagri.sc.gov.b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practicalaction.org/hydraulic-ram-pumps" TargetMode="External"/><Relationship Id="rId4" Type="http://schemas.openxmlformats.org/officeDocument/2006/relationships/webSettings" Target="webSettings.xml"/><Relationship Id="rId9" Type="http://schemas.openxmlformats.org/officeDocument/2006/relationships/hyperlink" Target="https://www.embrapa.br/busca-de-publicacoes/-/publicacao/963456/carneiro-hidraul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6</Pages>
  <Words>1934</Words>
  <Characters>10446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A bomba d'água que não precisa de eletricidade</vt:lpstr>
    </vt:vector>
  </TitlesOfParts>
  <Company/>
  <LinksUpToDate>false</LinksUpToDate>
  <CharactersWithSpaces>12356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bomba d'água que não precisa de eletricidade</dc:title>
  <dc:subject>Carneiro hidráulico</dc:subject>
  <dc:creator/>
  <cp:keywords/>
  <cp:lastModifiedBy>Office 365</cp:lastModifiedBy>
  <cp:revision>4</cp:revision>
  <dcterms:created xsi:type="dcterms:W3CDTF">2026-09-04T14:43:00Z</dcterms:created>
  <dcterms:modified xsi:type="dcterms:W3CDTF">2026-09-04T17:03:00Z</dcterms:modified>
</cp:coreProperties>
</file>